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616" w:rsidRPr="0064475D" w:rsidRDefault="00917616" w:rsidP="00E7415E">
      <w:pPr>
        <w:spacing w:line="276" w:lineRule="auto"/>
        <w:jc w:val="center"/>
        <w:rPr>
          <w:sz w:val="22"/>
          <w:szCs w:val="22"/>
        </w:rPr>
      </w:pPr>
      <w:r>
        <w:rPr>
          <w:sz w:val="22"/>
          <w:szCs w:val="22"/>
        </w:rPr>
        <w:t xml:space="preserve"> </w:t>
      </w: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Default="00917616" w:rsidP="00E7415E">
      <w:pPr>
        <w:spacing w:line="276" w:lineRule="auto"/>
        <w:jc w:val="center"/>
      </w:pPr>
    </w:p>
    <w:p w:rsidR="00917616" w:rsidRDefault="00917616" w:rsidP="00E7415E">
      <w:pPr>
        <w:spacing w:line="276" w:lineRule="auto"/>
        <w:jc w:val="center"/>
      </w:pP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Pr="000345E1" w:rsidRDefault="00917616" w:rsidP="00E7415E">
      <w:pPr>
        <w:spacing w:line="276" w:lineRule="auto"/>
        <w:jc w:val="center"/>
      </w:pPr>
    </w:p>
    <w:p w:rsidR="00917616" w:rsidRPr="00E7415E" w:rsidRDefault="00917616" w:rsidP="00E7415E">
      <w:pPr>
        <w:spacing w:line="276" w:lineRule="auto"/>
        <w:jc w:val="center"/>
        <w:rPr>
          <w:b/>
          <w:caps/>
          <w:sz w:val="32"/>
          <w:szCs w:val="32"/>
        </w:rPr>
      </w:pPr>
      <w:r w:rsidRPr="00E7415E">
        <w:rPr>
          <w:b/>
          <w:caps/>
          <w:sz w:val="32"/>
          <w:szCs w:val="32"/>
        </w:rPr>
        <w:t>Program za korišćenje biomase u energetske svrhe u OPŠTINI PETROVAC NA MLAVI</w:t>
      </w:r>
    </w:p>
    <w:p w:rsidR="00917616" w:rsidRPr="000345E1" w:rsidRDefault="00917616" w:rsidP="00E7415E">
      <w:pPr>
        <w:spacing w:line="276" w:lineRule="auto"/>
        <w:jc w:val="center"/>
      </w:pPr>
    </w:p>
    <w:p w:rsidR="00917616" w:rsidRPr="000345E1" w:rsidRDefault="00917616" w:rsidP="00E7415E">
      <w:pPr>
        <w:spacing w:line="276" w:lineRule="auto"/>
      </w:pPr>
    </w:p>
    <w:p w:rsidR="00917616" w:rsidRPr="000345E1" w:rsidRDefault="00917616" w:rsidP="00E7415E">
      <w:pPr>
        <w:spacing w:line="276" w:lineRule="auto"/>
      </w:pPr>
    </w:p>
    <w:p w:rsidR="00917616" w:rsidRPr="000345E1" w:rsidRDefault="00917616" w:rsidP="00E7415E">
      <w:pPr>
        <w:spacing w:line="276" w:lineRule="auto"/>
      </w:pPr>
    </w:p>
    <w:p w:rsidR="00917616" w:rsidRDefault="00917616" w:rsidP="00AA6BC4">
      <w:pPr>
        <w:jc w:val="center"/>
        <w:rPr>
          <w:i/>
          <w:sz w:val="24"/>
          <w:szCs w:val="24"/>
        </w:rPr>
      </w:pPr>
      <w:r>
        <w:rPr>
          <w:i/>
          <w:sz w:val="24"/>
          <w:szCs w:val="24"/>
        </w:rPr>
        <w:t>Ovaj izveštaj je autorsko pravo UNDP Srbija i pripremljen je u okviru UNDP GEF Projekta  „Smanjenje barijera za ubrzani razvoj tržišta biomase u Srbiji” (od strane GFA South East Europe d.o.o.).</w:t>
      </w:r>
    </w:p>
    <w:p w:rsidR="00917616" w:rsidRDefault="00917616" w:rsidP="00AA6BC4">
      <w:pPr>
        <w:jc w:val="center"/>
        <w:rPr>
          <w:i/>
          <w:sz w:val="24"/>
          <w:szCs w:val="24"/>
        </w:rPr>
      </w:pPr>
      <w:r>
        <w:rPr>
          <w:i/>
          <w:sz w:val="24"/>
          <w:szCs w:val="24"/>
        </w:rPr>
        <w:t xml:space="preserve">Korišćenje sadržaja ovog izveštaja i podataka je dozvoljeno isključivo uz citiranje autora, UNDP Projekta i navedenih izvora. </w:t>
      </w:r>
    </w:p>
    <w:p w:rsidR="00917616" w:rsidRDefault="00917616" w:rsidP="00AA6BC4">
      <w:pPr>
        <w:jc w:val="center"/>
        <w:rPr>
          <w:i/>
          <w:sz w:val="24"/>
          <w:szCs w:val="24"/>
        </w:rPr>
      </w:pPr>
      <w:r>
        <w:rPr>
          <w:i/>
          <w:sz w:val="24"/>
          <w:szCs w:val="24"/>
        </w:rPr>
        <w:t>Autori: Prof. dr Branko Glavonjić, prof. dr Todor Janić</w:t>
      </w:r>
    </w:p>
    <w:p w:rsidR="00917616" w:rsidRDefault="00917616" w:rsidP="00AA6BC4">
      <w:pPr>
        <w:jc w:val="center"/>
        <w:rPr>
          <w:i/>
          <w:sz w:val="24"/>
          <w:szCs w:val="24"/>
        </w:rPr>
      </w:pPr>
    </w:p>
    <w:p w:rsidR="00917616" w:rsidRDefault="00917616" w:rsidP="00AA6BC4">
      <w:pPr>
        <w:jc w:val="center"/>
        <w:rPr>
          <w:i/>
          <w:sz w:val="24"/>
          <w:szCs w:val="24"/>
        </w:rPr>
      </w:pPr>
    </w:p>
    <w:p w:rsidR="00917616" w:rsidRPr="00694F0A" w:rsidRDefault="00917616" w:rsidP="00AA6BC4">
      <w:pPr>
        <w:jc w:val="center"/>
        <w:rPr>
          <w:i/>
          <w:sz w:val="24"/>
          <w:szCs w:val="24"/>
        </w:rPr>
      </w:pPr>
      <w:r>
        <w:rPr>
          <w:i/>
          <w:sz w:val="24"/>
          <w:szCs w:val="24"/>
        </w:rPr>
        <w:t>Avgust, 2021.god</w:t>
      </w:r>
    </w:p>
    <w:p w:rsidR="00917616" w:rsidRPr="000345E1" w:rsidRDefault="00917616" w:rsidP="00E7415E">
      <w:pPr>
        <w:spacing w:line="276" w:lineRule="auto"/>
      </w:pPr>
    </w:p>
    <w:p w:rsidR="00917616" w:rsidRPr="000345E1" w:rsidRDefault="00917616" w:rsidP="00E7415E">
      <w:pPr>
        <w:overflowPunct/>
        <w:autoSpaceDE/>
        <w:autoSpaceDN/>
        <w:adjustRightInd/>
        <w:spacing w:line="276" w:lineRule="auto"/>
        <w:jc w:val="left"/>
        <w:textAlignment w:val="auto"/>
      </w:pPr>
      <w:r w:rsidRPr="000345E1">
        <w:br w:type="page"/>
      </w:r>
    </w:p>
    <w:p w:rsidR="00917616" w:rsidRDefault="00917616" w:rsidP="00E7415E">
      <w:pPr>
        <w:overflowPunct/>
        <w:autoSpaceDE/>
        <w:autoSpaceDN/>
        <w:adjustRightInd/>
        <w:spacing w:line="276" w:lineRule="auto"/>
        <w:jc w:val="left"/>
        <w:textAlignment w:val="auto"/>
        <w:rPr>
          <w:b/>
          <w:color w:val="121754"/>
          <w:sz w:val="28"/>
          <w:szCs w:val="28"/>
        </w:rPr>
      </w:pPr>
      <w:r w:rsidRPr="000345E1">
        <w:rPr>
          <w:b/>
          <w:color w:val="121754"/>
          <w:sz w:val="28"/>
          <w:szCs w:val="28"/>
        </w:rPr>
        <w:t>SADRŽAJ</w:t>
      </w:r>
    </w:p>
    <w:p w:rsidR="00917616" w:rsidRPr="000345E1" w:rsidRDefault="00917616" w:rsidP="00E7415E">
      <w:pPr>
        <w:overflowPunct/>
        <w:autoSpaceDE/>
        <w:autoSpaceDN/>
        <w:adjustRightInd/>
        <w:spacing w:line="276" w:lineRule="auto"/>
        <w:jc w:val="left"/>
        <w:textAlignment w:val="auto"/>
        <w:rPr>
          <w:b/>
          <w:color w:val="121754"/>
          <w:sz w:val="28"/>
          <w:szCs w:val="28"/>
        </w:rPr>
      </w:pPr>
    </w:p>
    <w:p w:rsidR="00917616" w:rsidRDefault="00917616">
      <w:pPr>
        <w:pStyle w:val="TOC1"/>
        <w:rPr>
          <w:rFonts w:cs="Times New Roman"/>
          <w:b w:val="0"/>
          <w:color w:val="auto"/>
          <w:sz w:val="22"/>
          <w:szCs w:val="22"/>
        </w:rPr>
      </w:pPr>
      <w:r w:rsidRPr="000345E1">
        <w:fldChar w:fldCharType="begin"/>
      </w:r>
      <w:r w:rsidRPr="000345E1">
        <w:instrText xml:space="preserve"> TOC \o "1-3" \h \z \u </w:instrText>
      </w:r>
      <w:r w:rsidRPr="000345E1">
        <w:fldChar w:fldCharType="separate"/>
      </w:r>
      <w:hyperlink w:anchor="_Toc531367196" w:history="1">
        <w:r w:rsidRPr="00AE5CF5">
          <w:rPr>
            <w:rStyle w:val="Hyperlink"/>
            <w:rFonts w:cs="Arial"/>
          </w:rPr>
          <w:t>1</w:t>
        </w:r>
        <w:r w:rsidRPr="00AE5CF5">
          <w:rPr>
            <w:rStyle w:val="Hyperlink"/>
            <w:rFonts w:cs="Arial"/>
          </w:rPr>
          <w:tab/>
          <w:t>UVOD</w:t>
        </w:r>
        <w:r w:rsidRPr="00AE5CF5">
          <w:rPr>
            <w:rStyle w:val="Hyperlink"/>
            <w:rFonts w:cs="Arial"/>
            <w:webHidden/>
          </w:rPr>
          <w:tab/>
        </w:r>
        <w:r w:rsidRPr="00AE5CF5">
          <w:rPr>
            <w:rStyle w:val="Hyperlink"/>
            <w:rFonts w:cs="Arial"/>
            <w:webHidden/>
          </w:rPr>
          <w:tab/>
        </w:r>
        <w:r w:rsidRPr="00AE5CF5">
          <w:rPr>
            <w:rStyle w:val="Hyperlink"/>
            <w:rFonts w:cs="Arial"/>
            <w:webHidden/>
          </w:rPr>
          <w:fldChar w:fldCharType="begin"/>
        </w:r>
        <w:r w:rsidRPr="00AE5CF5">
          <w:rPr>
            <w:rStyle w:val="Hyperlink"/>
            <w:rFonts w:cs="Arial"/>
            <w:webHidden/>
          </w:rPr>
          <w:instrText xml:space="preserve"> PAGEREF _Toc530670685 \h </w:instrText>
        </w:r>
        <w:r w:rsidRPr="00AE5CF5">
          <w:rPr>
            <w:rStyle w:val="Hyperlink"/>
            <w:webHidden/>
          </w:rPr>
        </w:r>
        <w:r w:rsidRPr="00AE5CF5">
          <w:rPr>
            <w:rStyle w:val="Hyperlink"/>
            <w:rFonts w:cs="Arial"/>
            <w:webHidden/>
          </w:rPr>
          <w:fldChar w:fldCharType="separate"/>
        </w:r>
        <w:r>
          <w:rPr>
            <w:rStyle w:val="Hyperlink"/>
            <w:rFonts w:cs="Arial"/>
            <w:b w:val="0"/>
            <w:bCs/>
            <w:webHidden/>
            <w:lang w:val="en-US"/>
          </w:rPr>
          <w:t>Error! Bookmark not defined.</w:t>
        </w:r>
        <w:r w:rsidRPr="00AE5CF5">
          <w:rPr>
            <w:rStyle w:val="Hyperlink"/>
            <w:rFonts w:cs="Arial"/>
            <w:webHidden/>
          </w:rPr>
          <w:fldChar w:fldCharType="end"/>
        </w:r>
      </w:hyperlink>
    </w:p>
    <w:p w:rsidR="00917616" w:rsidRDefault="00917616">
      <w:pPr>
        <w:pStyle w:val="TOC2"/>
        <w:rPr>
          <w:rFonts w:cs="Times New Roman"/>
          <w:color w:val="auto"/>
          <w:sz w:val="22"/>
          <w:szCs w:val="22"/>
        </w:rPr>
      </w:pPr>
      <w:hyperlink w:anchor="_Toc531367197" w:history="1">
        <w:r w:rsidRPr="00FE2812">
          <w:rPr>
            <w:rStyle w:val="Hyperlink"/>
            <w:rFonts w:cs="Arial"/>
          </w:rPr>
          <w:t>1.1</w:t>
        </w:r>
        <w:r>
          <w:rPr>
            <w:rFonts w:cs="Times New Roman"/>
            <w:color w:val="auto"/>
            <w:sz w:val="22"/>
            <w:szCs w:val="22"/>
          </w:rPr>
          <w:tab/>
        </w:r>
        <w:r w:rsidRPr="00FE2812">
          <w:rPr>
            <w:rStyle w:val="Hyperlink"/>
            <w:rFonts w:cs="Arial"/>
          </w:rPr>
          <w:t>NOSILAC PROGRAMA</w:t>
        </w:r>
        <w:r>
          <w:rPr>
            <w:webHidden/>
          </w:rPr>
          <w:tab/>
        </w:r>
        <w:r>
          <w:rPr>
            <w:webHidden/>
          </w:rPr>
          <w:fldChar w:fldCharType="begin"/>
        </w:r>
        <w:r>
          <w:rPr>
            <w:webHidden/>
          </w:rPr>
          <w:instrText xml:space="preserve"> PAGEREF _Toc531367197 \h </w:instrText>
        </w:r>
        <w:r>
          <w:rPr>
            <w:webHidden/>
          </w:rPr>
        </w:r>
        <w:r>
          <w:rPr>
            <w:webHidden/>
          </w:rPr>
          <w:fldChar w:fldCharType="separate"/>
        </w:r>
        <w:r>
          <w:rPr>
            <w:webHidden/>
          </w:rPr>
          <w:t>4</w:t>
        </w:r>
        <w:r>
          <w:rPr>
            <w:webHidden/>
          </w:rPr>
          <w:fldChar w:fldCharType="end"/>
        </w:r>
      </w:hyperlink>
    </w:p>
    <w:p w:rsidR="00917616" w:rsidRDefault="00917616">
      <w:pPr>
        <w:pStyle w:val="TOC2"/>
        <w:rPr>
          <w:rFonts w:cs="Times New Roman"/>
          <w:color w:val="auto"/>
          <w:sz w:val="22"/>
          <w:szCs w:val="22"/>
        </w:rPr>
      </w:pPr>
      <w:hyperlink w:anchor="_Toc531367198" w:history="1">
        <w:r w:rsidRPr="00FE2812">
          <w:rPr>
            <w:rStyle w:val="Hyperlink"/>
            <w:rFonts w:cs="Arial"/>
          </w:rPr>
          <w:t>1.2</w:t>
        </w:r>
        <w:r>
          <w:rPr>
            <w:rFonts w:cs="Times New Roman"/>
            <w:color w:val="auto"/>
            <w:sz w:val="22"/>
            <w:szCs w:val="22"/>
          </w:rPr>
          <w:tab/>
        </w:r>
        <w:r w:rsidRPr="00FE2812">
          <w:rPr>
            <w:rStyle w:val="Hyperlink"/>
            <w:rFonts w:cs="Arial"/>
          </w:rPr>
          <w:t>RAZLOG DONOŠENJA PROGRAMA I NJEGOV SADRŽAJ</w:t>
        </w:r>
        <w:r>
          <w:rPr>
            <w:webHidden/>
          </w:rPr>
          <w:tab/>
        </w:r>
        <w:r>
          <w:rPr>
            <w:webHidden/>
          </w:rPr>
          <w:fldChar w:fldCharType="begin"/>
        </w:r>
        <w:r>
          <w:rPr>
            <w:webHidden/>
          </w:rPr>
          <w:instrText xml:space="preserve"> PAGEREF _Toc531367198 \h </w:instrText>
        </w:r>
        <w:r>
          <w:rPr>
            <w:webHidden/>
          </w:rPr>
        </w:r>
        <w:r>
          <w:rPr>
            <w:webHidden/>
          </w:rPr>
          <w:fldChar w:fldCharType="separate"/>
        </w:r>
        <w:r>
          <w:rPr>
            <w:webHidden/>
          </w:rPr>
          <w:t>4</w:t>
        </w:r>
        <w:r>
          <w:rPr>
            <w:webHidden/>
          </w:rPr>
          <w:fldChar w:fldCharType="end"/>
        </w:r>
      </w:hyperlink>
    </w:p>
    <w:p w:rsidR="00917616" w:rsidRDefault="00917616">
      <w:pPr>
        <w:pStyle w:val="TOC2"/>
        <w:rPr>
          <w:rFonts w:cs="Times New Roman"/>
          <w:color w:val="auto"/>
          <w:sz w:val="22"/>
          <w:szCs w:val="22"/>
        </w:rPr>
      </w:pPr>
      <w:hyperlink w:anchor="_Toc531367199" w:history="1">
        <w:r w:rsidRPr="00FE2812">
          <w:rPr>
            <w:rStyle w:val="Hyperlink"/>
            <w:rFonts w:cs="Arial"/>
          </w:rPr>
          <w:t>1.3</w:t>
        </w:r>
        <w:r>
          <w:rPr>
            <w:rFonts w:cs="Times New Roman"/>
            <w:color w:val="auto"/>
            <w:sz w:val="22"/>
            <w:szCs w:val="22"/>
          </w:rPr>
          <w:tab/>
        </w:r>
        <w:r w:rsidRPr="00FE2812">
          <w:rPr>
            <w:rStyle w:val="Hyperlink"/>
            <w:rFonts w:cs="Arial"/>
          </w:rPr>
          <w:t>PLANIRANI VREMENSKI ROK NA KOJI SE DONOSI PROGRAM</w:t>
        </w:r>
        <w:r>
          <w:rPr>
            <w:webHidden/>
          </w:rPr>
          <w:tab/>
        </w:r>
        <w:r>
          <w:rPr>
            <w:webHidden/>
          </w:rPr>
          <w:fldChar w:fldCharType="begin"/>
        </w:r>
        <w:r>
          <w:rPr>
            <w:webHidden/>
          </w:rPr>
          <w:instrText xml:space="preserve"> PAGEREF _Toc531367199 \h </w:instrText>
        </w:r>
        <w:r>
          <w:rPr>
            <w:webHidden/>
          </w:rPr>
        </w:r>
        <w:r>
          <w:rPr>
            <w:webHidden/>
          </w:rPr>
          <w:fldChar w:fldCharType="separate"/>
        </w:r>
        <w:r>
          <w:rPr>
            <w:webHidden/>
          </w:rPr>
          <w:t>4</w:t>
        </w:r>
        <w:r>
          <w:rPr>
            <w:webHidden/>
          </w:rPr>
          <w:fldChar w:fldCharType="end"/>
        </w:r>
      </w:hyperlink>
    </w:p>
    <w:p w:rsidR="00917616" w:rsidRDefault="00917616">
      <w:pPr>
        <w:pStyle w:val="TOC2"/>
        <w:rPr>
          <w:rFonts w:cs="Times New Roman"/>
          <w:color w:val="auto"/>
          <w:sz w:val="22"/>
          <w:szCs w:val="22"/>
        </w:rPr>
      </w:pPr>
      <w:hyperlink w:anchor="_Toc531367200" w:history="1">
        <w:r w:rsidRPr="00FE2812">
          <w:rPr>
            <w:rStyle w:val="Hyperlink"/>
            <w:rFonts w:cs="Arial"/>
          </w:rPr>
          <w:t>1.4</w:t>
        </w:r>
        <w:r>
          <w:rPr>
            <w:rFonts w:cs="Times New Roman"/>
            <w:color w:val="auto"/>
            <w:sz w:val="22"/>
            <w:szCs w:val="22"/>
          </w:rPr>
          <w:tab/>
        </w:r>
        <w:r w:rsidRPr="00FE2812">
          <w:rPr>
            <w:rStyle w:val="Hyperlink"/>
            <w:rFonts w:cs="Arial"/>
          </w:rPr>
          <w:t>USKLAĐENOST PROGRAMA SA DRUGIM DOKUMENTIMA LOKALNE I NACIONALNE POLITIKE</w:t>
        </w:r>
        <w:r>
          <w:rPr>
            <w:webHidden/>
          </w:rPr>
          <w:tab/>
        </w:r>
        <w:r>
          <w:rPr>
            <w:webHidden/>
          </w:rPr>
          <w:fldChar w:fldCharType="begin"/>
        </w:r>
        <w:r>
          <w:rPr>
            <w:webHidden/>
          </w:rPr>
          <w:instrText xml:space="preserve"> PAGEREF _Toc531367200 \h </w:instrText>
        </w:r>
        <w:r>
          <w:rPr>
            <w:webHidden/>
          </w:rPr>
        </w:r>
        <w:r>
          <w:rPr>
            <w:webHidden/>
          </w:rPr>
          <w:fldChar w:fldCharType="separate"/>
        </w:r>
        <w:r>
          <w:rPr>
            <w:webHidden/>
          </w:rPr>
          <w:t>4</w:t>
        </w:r>
        <w:r>
          <w:rPr>
            <w:webHidden/>
          </w:rPr>
          <w:fldChar w:fldCharType="end"/>
        </w:r>
      </w:hyperlink>
    </w:p>
    <w:p w:rsidR="00917616" w:rsidRDefault="00917616">
      <w:pPr>
        <w:pStyle w:val="TOC2"/>
        <w:rPr>
          <w:rFonts w:cs="Times New Roman"/>
          <w:color w:val="auto"/>
          <w:sz w:val="22"/>
          <w:szCs w:val="22"/>
        </w:rPr>
      </w:pPr>
      <w:hyperlink w:anchor="_Toc531367201" w:history="1">
        <w:r w:rsidRPr="00FE2812">
          <w:rPr>
            <w:rStyle w:val="Hyperlink"/>
            <w:rFonts w:cs="Arial"/>
          </w:rPr>
          <w:t>1.5</w:t>
        </w:r>
        <w:r>
          <w:rPr>
            <w:rFonts w:cs="Times New Roman"/>
            <w:color w:val="auto"/>
            <w:sz w:val="22"/>
            <w:szCs w:val="22"/>
          </w:rPr>
          <w:tab/>
        </w:r>
        <w:r w:rsidRPr="00FE2812">
          <w:rPr>
            <w:rStyle w:val="Hyperlink"/>
            <w:rFonts w:cs="Arial"/>
          </w:rPr>
          <w:t>KORIŠĆENA METODOLOGIJA</w:t>
        </w:r>
        <w:r>
          <w:rPr>
            <w:webHidden/>
          </w:rPr>
          <w:tab/>
        </w:r>
        <w:r>
          <w:rPr>
            <w:webHidden/>
          </w:rPr>
          <w:fldChar w:fldCharType="begin"/>
        </w:r>
        <w:r>
          <w:rPr>
            <w:webHidden/>
          </w:rPr>
          <w:instrText xml:space="preserve"> PAGEREF _Toc531367201 \h </w:instrText>
        </w:r>
        <w:r>
          <w:rPr>
            <w:webHidden/>
          </w:rPr>
        </w:r>
        <w:r>
          <w:rPr>
            <w:webHidden/>
          </w:rPr>
          <w:fldChar w:fldCharType="separate"/>
        </w:r>
        <w:r>
          <w:rPr>
            <w:webHidden/>
          </w:rPr>
          <w:t>5</w:t>
        </w:r>
        <w:r>
          <w:rPr>
            <w:webHidden/>
          </w:rPr>
          <w:fldChar w:fldCharType="end"/>
        </w:r>
      </w:hyperlink>
    </w:p>
    <w:p w:rsidR="00917616" w:rsidRDefault="00917616">
      <w:pPr>
        <w:pStyle w:val="TOC1"/>
        <w:rPr>
          <w:rFonts w:cs="Times New Roman"/>
          <w:b w:val="0"/>
          <w:color w:val="auto"/>
          <w:sz w:val="22"/>
          <w:szCs w:val="22"/>
        </w:rPr>
      </w:pPr>
      <w:hyperlink w:anchor="_Toc531367202" w:history="1">
        <w:r w:rsidRPr="00FE2812">
          <w:rPr>
            <w:rStyle w:val="Hyperlink"/>
            <w:rFonts w:cs="Arial"/>
          </w:rPr>
          <w:t>2</w:t>
        </w:r>
        <w:r>
          <w:rPr>
            <w:rFonts w:cs="Times New Roman"/>
            <w:b w:val="0"/>
            <w:color w:val="auto"/>
            <w:sz w:val="22"/>
            <w:szCs w:val="22"/>
          </w:rPr>
          <w:tab/>
        </w:r>
        <w:r w:rsidRPr="00FE2812">
          <w:rPr>
            <w:rStyle w:val="Hyperlink"/>
            <w:rFonts w:cs="Arial"/>
          </w:rPr>
          <w:t>OPŠTE INFORMACIJE</w:t>
        </w:r>
        <w:r>
          <w:rPr>
            <w:webHidden/>
          </w:rPr>
          <w:tab/>
        </w:r>
        <w:r>
          <w:rPr>
            <w:webHidden/>
          </w:rPr>
          <w:fldChar w:fldCharType="begin"/>
        </w:r>
        <w:r>
          <w:rPr>
            <w:webHidden/>
          </w:rPr>
          <w:instrText xml:space="preserve"> PAGEREF _Toc531367202 \h </w:instrText>
        </w:r>
        <w:r>
          <w:rPr>
            <w:webHidden/>
          </w:rPr>
        </w:r>
        <w:r>
          <w:rPr>
            <w:webHidden/>
          </w:rPr>
          <w:fldChar w:fldCharType="separate"/>
        </w:r>
        <w:r>
          <w:rPr>
            <w:webHidden/>
          </w:rPr>
          <w:t>12</w:t>
        </w:r>
        <w:r>
          <w:rPr>
            <w:webHidden/>
          </w:rPr>
          <w:fldChar w:fldCharType="end"/>
        </w:r>
      </w:hyperlink>
    </w:p>
    <w:p w:rsidR="00917616" w:rsidRDefault="00917616">
      <w:pPr>
        <w:pStyle w:val="TOC1"/>
        <w:rPr>
          <w:rFonts w:cs="Times New Roman"/>
          <w:b w:val="0"/>
          <w:color w:val="auto"/>
          <w:sz w:val="22"/>
          <w:szCs w:val="22"/>
        </w:rPr>
      </w:pPr>
      <w:hyperlink w:anchor="_Toc531367203" w:history="1">
        <w:r w:rsidRPr="00FE2812">
          <w:rPr>
            <w:rStyle w:val="Hyperlink"/>
            <w:rFonts w:cs="Arial"/>
          </w:rPr>
          <w:t>3</w:t>
        </w:r>
        <w:r>
          <w:rPr>
            <w:rFonts w:cs="Times New Roman"/>
            <w:b w:val="0"/>
            <w:color w:val="auto"/>
            <w:sz w:val="22"/>
            <w:szCs w:val="22"/>
          </w:rPr>
          <w:tab/>
        </w:r>
        <w:r w:rsidRPr="00FE2812">
          <w:rPr>
            <w:rStyle w:val="Hyperlink"/>
            <w:rFonts w:cs="Arial"/>
          </w:rPr>
          <w:t>CILJ PROGRAMA</w:t>
        </w:r>
        <w:r>
          <w:rPr>
            <w:webHidden/>
          </w:rPr>
          <w:tab/>
        </w:r>
        <w:r>
          <w:rPr>
            <w:webHidden/>
          </w:rPr>
          <w:fldChar w:fldCharType="begin"/>
        </w:r>
        <w:r>
          <w:rPr>
            <w:webHidden/>
          </w:rPr>
          <w:instrText xml:space="preserve"> PAGEREF _Toc531367203 \h </w:instrText>
        </w:r>
        <w:r>
          <w:rPr>
            <w:webHidden/>
          </w:rPr>
        </w:r>
        <w:r>
          <w:rPr>
            <w:webHidden/>
          </w:rPr>
          <w:fldChar w:fldCharType="separate"/>
        </w:r>
        <w:r>
          <w:rPr>
            <w:webHidden/>
          </w:rPr>
          <w:t>13</w:t>
        </w:r>
        <w:r>
          <w:rPr>
            <w:webHidden/>
          </w:rPr>
          <w:fldChar w:fldCharType="end"/>
        </w:r>
      </w:hyperlink>
    </w:p>
    <w:p w:rsidR="00917616" w:rsidRDefault="00917616">
      <w:pPr>
        <w:pStyle w:val="TOC1"/>
        <w:rPr>
          <w:rFonts w:cs="Times New Roman"/>
          <w:b w:val="0"/>
          <w:color w:val="auto"/>
          <w:sz w:val="22"/>
          <w:szCs w:val="22"/>
        </w:rPr>
      </w:pPr>
      <w:hyperlink w:anchor="_Toc531367204" w:history="1">
        <w:r w:rsidRPr="00FE2812">
          <w:rPr>
            <w:rStyle w:val="Hyperlink"/>
            <w:rFonts w:cs="Arial"/>
          </w:rPr>
          <w:t>4</w:t>
        </w:r>
        <w:r>
          <w:rPr>
            <w:rFonts w:cs="Times New Roman"/>
            <w:b w:val="0"/>
            <w:color w:val="auto"/>
            <w:sz w:val="22"/>
            <w:szCs w:val="22"/>
          </w:rPr>
          <w:tab/>
        </w:r>
        <w:r w:rsidRPr="00FE2812">
          <w:rPr>
            <w:rStyle w:val="Hyperlink"/>
            <w:rFonts w:cs="Arial"/>
          </w:rPr>
          <w:t>BILANS BIOMASE OPŠTINE PETROVAC NA MLAVI</w:t>
        </w:r>
        <w:r>
          <w:rPr>
            <w:webHidden/>
          </w:rPr>
          <w:tab/>
        </w:r>
        <w:r>
          <w:rPr>
            <w:webHidden/>
          </w:rPr>
          <w:fldChar w:fldCharType="begin"/>
        </w:r>
        <w:r>
          <w:rPr>
            <w:webHidden/>
          </w:rPr>
          <w:instrText xml:space="preserve"> PAGEREF _Toc531367204 \h </w:instrText>
        </w:r>
        <w:r>
          <w:rPr>
            <w:webHidden/>
          </w:rPr>
        </w:r>
        <w:r>
          <w:rPr>
            <w:webHidden/>
          </w:rPr>
          <w:fldChar w:fldCharType="separate"/>
        </w:r>
        <w:r>
          <w:rPr>
            <w:webHidden/>
          </w:rPr>
          <w:t>14</w:t>
        </w:r>
        <w:r>
          <w:rPr>
            <w:webHidden/>
          </w:rPr>
          <w:fldChar w:fldCharType="end"/>
        </w:r>
      </w:hyperlink>
    </w:p>
    <w:p w:rsidR="00917616" w:rsidRDefault="00917616">
      <w:pPr>
        <w:pStyle w:val="TOC2"/>
        <w:rPr>
          <w:rFonts w:cs="Times New Roman"/>
          <w:color w:val="auto"/>
          <w:sz w:val="22"/>
          <w:szCs w:val="22"/>
        </w:rPr>
      </w:pPr>
      <w:hyperlink w:anchor="_Toc531367205" w:history="1">
        <w:r w:rsidRPr="00FE2812">
          <w:rPr>
            <w:rStyle w:val="Hyperlink"/>
            <w:rFonts w:cs="Arial"/>
          </w:rPr>
          <w:t>4.1</w:t>
        </w:r>
        <w:r>
          <w:rPr>
            <w:rFonts w:cs="Times New Roman"/>
            <w:color w:val="auto"/>
            <w:sz w:val="22"/>
            <w:szCs w:val="22"/>
          </w:rPr>
          <w:tab/>
        </w:r>
        <w:r w:rsidRPr="00FE2812">
          <w:rPr>
            <w:rStyle w:val="Hyperlink"/>
            <w:rFonts w:cs="Arial"/>
          </w:rPr>
          <w:t>Bilans drvne biomase</w:t>
        </w:r>
        <w:r>
          <w:rPr>
            <w:webHidden/>
          </w:rPr>
          <w:tab/>
        </w:r>
        <w:r>
          <w:rPr>
            <w:webHidden/>
          </w:rPr>
          <w:fldChar w:fldCharType="begin"/>
        </w:r>
        <w:r>
          <w:rPr>
            <w:webHidden/>
          </w:rPr>
          <w:instrText xml:space="preserve"> PAGEREF _Toc531367205 \h </w:instrText>
        </w:r>
        <w:r>
          <w:rPr>
            <w:webHidden/>
          </w:rPr>
        </w:r>
        <w:r>
          <w:rPr>
            <w:webHidden/>
          </w:rPr>
          <w:fldChar w:fldCharType="separate"/>
        </w:r>
        <w:r>
          <w:rPr>
            <w:webHidden/>
          </w:rPr>
          <w:t>14</w:t>
        </w:r>
        <w:r>
          <w:rPr>
            <w:webHidden/>
          </w:rPr>
          <w:fldChar w:fldCharType="end"/>
        </w:r>
      </w:hyperlink>
    </w:p>
    <w:p w:rsidR="00917616" w:rsidRDefault="00917616">
      <w:pPr>
        <w:pStyle w:val="TOC2"/>
        <w:rPr>
          <w:rFonts w:cs="Times New Roman"/>
          <w:color w:val="auto"/>
          <w:sz w:val="22"/>
          <w:szCs w:val="22"/>
        </w:rPr>
      </w:pPr>
      <w:hyperlink w:anchor="_Toc531367206" w:history="1">
        <w:r w:rsidRPr="00FE2812">
          <w:rPr>
            <w:rStyle w:val="Hyperlink"/>
            <w:rFonts w:cs="Arial"/>
          </w:rPr>
          <w:t>4.2</w:t>
        </w:r>
        <w:r>
          <w:rPr>
            <w:rFonts w:cs="Times New Roman"/>
            <w:color w:val="auto"/>
            <w:sz w:val="22"/>
            <w:szCs w:val="22"/>
          </w:rPr>
          <w:tab/>
        </w:r>
        <w:r w:rsidRPr="00FE2812">
          <w:rPr>
            <w:rStyle w:val="Hyperlink"/>
            <w:rFonts w:cs="Arial"/>
          </w:rPr>
          <w:t>Bilans poljoprivredne biomase</w:t>
        </w:r>
        <w:r>
          <w:rPr>
            <w:webHidden/>
          </w:rPr>
          <w:tab/>
        </w:r>
        <w:r>
          <w:rPr>
            <w:webHidden/>
          </w:rPr>
          <w:fldChar w:fldCharType="begin"/>
        </w:r>
        <w:r>
          <w:rPr>
            <w:webHidden/>
          </w:rPr>
          <w:instrText xml:space="preserve"> PAGEREF _Toc531367206 \h </w:instrText>
        </w:r>
        <w:r>
          <w:rPr>
            <w:webHidden/>
          </w:rPr>
        </w:r>
        <w:r>
          <w:rPr>
            <w:webHidden/>
          </w:rPr>
          <w:fldChar w:fldCharType="separate"/>
        </w:r>
        <w:r>
          <w:rPr>
            <w:webHidden/>
          </w:rPr>
          <w:t>19</w:t>
        </w:r>
        <w:r>
          <w:rPr>
            <w:webHidden/>
          </w:rPr>
          <w:fldChar w:fldCharType="end"/>
        </w:r>
      </w:hyperlink>
    </w:p>
    <w:p w:rsidR="00917616" w:rsidRDefault="00917616">
      <w:pPr>
        <w:pStyle w:val="TOC1"/>
        <w:rPr>
          <w:rFonts w:cs="Times New Roman"/>
          <w:b w:val="0"/>
          <w:color w:val="auto"/>
          <w:sz w:val="22"/>
          <w:szCs w:val="22"/>
        </w:rPr>
      </w:pPr>
      <w:hyperlink w:anchor="_Toc531367207" w:history="1">
        <w:r w:rsidRPr="00FE2812">
          <w:rPr>
            <w:rStyle w:val="Hyperlink"/>
            <w:rFonts w:cs="Arial"/>
          </w:rPr>
          <w:t>5</w:t>
        </w:r>
        <w:r>
          <w:rPr>
            <w:rFonts w:cs="Times New Roman"/>
            <w:b w:val="0"/>
            <w:color w:val="auto"/>
            <w:sz w:val="22"/>
            <w:szCs w:val="22"/>
          </w:rPr>
          <w:tab/>
        </w:r>
        <w:r w:rsidRPr="00FE2812">
          <w:rPr>
            <w:rStyle w:val="Hyperlink"/>
            <w:rFonts w:cs="Arial"/>
          </w:rPr>
          <w:t>MOGUĆNOST UZGAJANJA ENERGETSKIH ZASADA</w:t>
        </w:r>
        <w:r>
          <w:rPr>
            <w:webHidden/>
          </w:rPr>
          <w:tab/>
        </w:r>
        <w:r>
          <w:rPr>
            <w:webHidden/>
          </w:rPr>
          <w:fldChar w:fldCharType="begin"/>
        </w:r>
        <w:r>
          <w:rPr>
            <w:webHidden/>
          </w:rPr>
          <w:instrText xml:space="preserve"> PAGEREF _Toc531367207 \h </w:instrText>
        </w:r>
        <w:r>
          <w:rPr>
            <w:webHidden/>
          </w:rPr>
        </w:r>
        <w:r>
          <w:rPr>
            <w:webHidden/>
          </w:rPr>
          <w:fldChar w:fldCharType="separate"/>
        </w:r>
        <w:r>
          <w:rPr>
            <w:webHidden/>
          </w:rPr>
          <w:t>30</w:t>
        </w:r>
        <w:r>
          <w:rPr>
            <w:webHidden/>
          </w:rPr>
          <w:fldChar w:fldCharType="end"/>
        </w:r>
      </w:hyperlink>
    </w:p>
    <w:p w:rsidR="00917616" w:rsidRDefault="00917616">
      <w:pPr>
        <w:pStyle w:val="TOC1"/>
        <w:rPr>
          <w:rFonts w:cs="Times New Roman"/>
          <w:b w:val="0"/>
          <w:color w:val="auto"/>
          <w:sz w:val="22"/>
          <w:szCs w:val="22"/>
        </w:rPr>
      </w:pPr>
      <w:hyperlink w:anchor="_Toc531367208" w:history="1">
        <w:r w:rsidRPr="00FE2812">
          <w:rPr>
            <w:rStyle w:val="Hyperlink"/>
            <w:rFonts w:cs="Arial"/>
          </w:rPr>
          <w:t>6</w:t>
        </w:r>
        <w:r>
          <w:rPr>
            <w:rFonts w:cs="Times New Roman"/>
            <w:b w:val="0"/>
            <w:color w:val="auto"/>
            <w:sz w:val="22"/>
            <w:szCs w:val="22"/>
          </w:rPr>
          <w:tab/>
        </w:r>
        <w:r w:rsidRPr="00FE2812">
          <w:rPr>
            <w:rStyle w:val="Hyperlink"/>
            <w:rFonts w:cs="Arial"/>
          </w:rPr>
          <w:t>SWOT analiza</w:t>
        </w:r>
        <w:r>
          <w:rPr>
            <w:webHidden/>
          </w:rPr>
          <w:tab/>
        </w:r>
        <w:r>
          <w:rPr>
            <w:webHidden/>
          </w:rPr>
          <w:fldChar w:fldCharType="begin"/>
        </w:r>
        <w:r>
          <w:rPr>
            <w:webHidden/>
          </w:rPr>
          <w:instrText xml:space="preserve"> PAGEREF _Toc531367208 \h </w:instrText>
        </w:r>
        <w:r>
          <w:rPr>
            <w:webHidden/>
          </w:rPr>
        </w:r>
        <w:r>
          <w:rPr>
            <w:webHidden/>
          </w:rPr>
          <w:fldChar w:fldCharType="separate"/>
        </w:r>
        <w:r>
          <w:rPr>
            <w:webHidden/>
          </w:rPr>
          <w:t>34</w:t>
        </w:r>
        <w:r>
          <w:rPr>
            <w:webHidden/>
          </w:rPr>
          <w:fldChar w:fldCharType="end"/>
        </w:r>
      </w:hyperlink>
    </w:p>
    <w:p w:rsidR="00917616" w:rsidRDefault="00917616">
      <w:pPr>
        <w:pStyle w:val="TOC1"/>
        <w:rPr>
          <w:rFonts w:cs="Times New Roman"/>
          <w:b w:val="0"/>
          <w:color w:val="auto"/>
          <w:sz w:val="22"/>
          <w:szCs w:val="22"/>
        </w:rPr>
      </w:pPr>
      <w:hyperlink w:anchor="_Toc531367209" w:history="1">
        <w:r w:rsidRPr="00FE2812">
          <w:rPr>
            <w:rStyle w:val="Hyperlink"/>
            <w:rFonts w:cs="Arial"/>
          </w:rPr>
          <w:t>7</w:t>
        </w:r>
        <w:r>
          <w:rPr>
            <w:rFonts w:cs="Times New Roman"/>
            <w:b w:val="0"/>
            <w:color w:val="auto"/>
            <w:sz w:val="22"/>
            <w:szCs w:val="22"/>
          </w:rPr>
          <w:tab/>
        </w:r>
        <w:r w:rsidRPr="00FE2812">
          <w:rPr>
            <w:rStyle w:val="Hyperlink"/>
            <w:rFonts w:cs="Arial"/>
          </w:rPr>
          <w:t>MERE ZA POSTIZANJE CILJEVA PROGRAMA</w:t>
        </w:r>
        <w:r>
          <w:rPr>
            <w:webHidden/>
          </w:rPr>
          <w:tab/>
        </w:r>
        <w:r>
          <w:rPr>
            <w:webHidden/>
          </w:rPr>
          <w:fldChar w:fldCharType="begin"/>
        </w:r>
        <w:r>
          <w:rPr>
            <w:webHidden/>
          </w:rPr>
          <w:instrText xml:space="preserve"> PAGEREF _Toc531367209 \h </w:instrText>
        </w:r>
        <w:r>
          <w:rPr>
            <w:webHidden/>
          </w:rPr>
        </w:r>
        <w:r>
          <w:rPr>
            <w:webHidden/>
          </w:rPr>
          <w:fldChar w:fldCharType="separate"/>
        </w:r>
        <w:r>
          <w:rPr>
            <w:webHidden/>
          </w:rPr>
          <w:t>35</w:t>
        </w:r>
        <w:r>
          <w:rPr>
            <w:webHidden/>
          </w:rPr>
          <w:fldChar w:fldCharType="end"/>
        </w:r>
      </w:hyperlink>
    </w:p>
    <w:p w:rsidR="00917616" w:rsidRDefault="00917616">
      <w:pPr>
        <w:pStyle w:val="TOC1"/>
        <w:rPr>
          <w:rFonts w:cs="Times New Roman"/>
          <w:b w:val="0"/>
          <w:color w:val="auto"/>
          <w:sz w:val="22"/>
          <w:szCs w:val="22"/>
        </w:rPr>
      </w:pPr>
      <w:hyperlink w:anchor="_Toc531367210" w:history="1">
        <w:r w:rsidRPr="00FE2812">
          <w:rPr>
            <w:rStyle w:val="Hyperlink"/>
            <w:rFonts w:cs="Arial"/>
          </w:rPr>
          <w:t>8</w:t>
        </w:r>
        <w:r>
          <w:rPr>
            <w:rFonts w:cs="Times New Roman"/>
            <w:b w:val="0"/>
            <w:color w:val="auto"/>
            <w:sz w:val="22"/>
            <w:szCs w:val="22"/>
          </w:rPr>
          <w:tab/>
        </w:r>
        <w:r w:rsidRPr="00FE2812">
          <w:rPr>
            <w:rStyle w:val="Hyperlink"/>
            <w:rFonts w:cs="Arial"/>
          </w:rPr>
          <w:t>PRAĆENJE SPROVOĐENJA PROGRAMA</w:t>
        </w:r>
        <w:r>
          <w:rPr>
            <w:webHidden/>
          </w:rPr>
          <w:tab/>
        </w:r>
        <w:r>
          <w:rPr>
            <w:webHidden/>
          </w:rPr>
          <w:fldChar w:fldCharType="begin"/>
        </w:r>
        <w:r>
          <w:rPr>
            <w:webHidden/>
          </w:rPr>
          <w:instrText xml:space="preserve"> PAGEREF _Toc531367210 \h </w:instrText>
        </w:r>
        <w:r>
          <w:rPr>
            <w:webHidden/>
          </w:rPr>
        </w:r>
        <w:r>
          <w:rPr>
            <w:webHidden/>
          </w:rPr>
          <w:fldChar w:fldCharType="separate"/>
        </w:r>
        <w:r>
          <w:rPr>
            <w:webHidden/>
          </w:rPr>
          <w:t>39</w:t>
        </w:r>
        <w:r>
          <w:rPr>
            <w:webHidden/>
          </w:rPr>
          <w:fldChar w:fldCharType="end"/>
        </w:r>
      </w:hyperlink>
    </w:p>
    <w:p w:rsidR="00917616" w:rsidRDefault="00917616">
      <w:pPr>
        <w:pStyle w:val="TOC2"/>
        <w:rPr>
          <w:rFonts w:cs="Times New Roman"/>
          <w:color w:val="auto"/>
          <w:sz w:val="22"/>
          <w:szCs w:val="22"/>
        </w:rPr>
      </w:pPr>
      <w:hyperlink w:anchor="_Toc531367211" w:history="1">
        <w:r w:rsidRPr="00FE2812">
          <w:rPr>
            <w:rStyle w:val="Hyperlink"/>
            <w:rFonts w:cs="Arial"/>
          </w:rPr>
          <w:t>8.1</w:t>
        </w:r>
        <w:r>
          <w:rPr>
            <w:rFonts w:cs="Times New Roman"/>
            <w:color w:val="auto"/>
            <w:sz w:val="22"/>
            <w:szCs w:val="22"/>
          </w:rPr>
          <w:tab/>
        </w:r>
        <w:r w:rsidRPr="00FE2812">
          <w:rPr>
            <w:rStyle w:val="Hyperlink"/>
            <w:rFonts w:cs="Arial"/>
          </w:rPr>
          <w:t>Način praćenja sprovođenja programa</w:t>
        </w:r>
        <w:r>
          <w:rPr>
            <w:webHidden/>
          </w:rPr>
          <w:tab/>
        </w:r>
        <w:r>
          <w:rPr>
            <w:webHidden/>
          </w:rPr>
          <w:fldChar w:fldCharType="begin"/>
        </w:r>
        <w:r>
          <w:rPr>
            <w:webHidden/>
          </w:rPr>
          <w:instrText xml:space="preserve"> PAGEREF _Toc531367211 \h </w:instrText>
        </w:r>
        <w:r>
          <w:rPr>
            <w:webHidden/>
          </w:rPr>
        </w:r>
        <w:r>
          <w:rPr>
            <w:webHidden/>
          </w:rPr>
          <w:fldChar w:fldCharType="separate"/>
        </w:r>
        <w:r>
          <w:rPr>
            <w:webHidden/>
          </w:rPr>
          <w:t>39</w:t>
        </w:r>
        <w:r>
          <w:rPr>
            <w:webHidden/>
          </w:rPr>
          <w:fldChar w:fldCharType="end"/>
        </w:r>
      </w:hyperlink>
    </w:p>
    <w:p w:rsidR="00917616" w:rsidRDefault="00917616">
      <w:pPr>
        <w:pStyle w:val="TOC2"/>
        <w:rPr>
          <w:rFonts w:cs="Times New Roman"/>
          <w:color w:val="auto"/>
          <w:sz w:val="22"/>
          <w:szCs w:val="22"/>
        </w:rPr>
      </w:pPr>
      <w:hyperlink w:anchor="_Toc531367212" w:history="1">
        <w:r w:rsidRPr="00FE2812">
          <w:rPr>
            <w:rStyle w:val="Hyperlink"/>
            <w:rFonts w:cs="Arial"/>
          </w:rPr>
          <w:t>8.2</w:t>
        </w:r>
        <w:r>
          <w:rPr>
            <w:rFonts w:cs="Times New Roman"/>
            <w:color w:val="auto"/>
            <w:sz w:val="22"/>
            <w:szCs w:val="22"/>
          </w:rPr>
          <w:tab/>
        </w:r>
        <w:r w:rsidRPr="00FE2812">
          <w:rPr>
            <w:rStyle w:val="Hyperlink"/>
            <w:rFonts w:cs="Arial"/>
          </w:rPr>
          <w:t>Izveštaj o sprovođenju programa u prethodnom periodu</w:t>
        </w:r>
        <w:r>
          <w:rPr>
            <w:webHidden/>
          </w:rPr>
          <w:tab/>
        </w:r>
        <w:r>
          <w:rPr>
            <w:webHidden/>
          </w:rPr>
          <w:fldChar w:fldCharType="begin"/>
        </w:r>
        <w:r>
          <w:rPr>
            <w:webHidden/>
          </w:rPr>
          <w:instrText xml:space="preserve"> PAGEREF _Toc531367212 \h </w:instrText>
        </w:r>
        <w:r>
          <w:rPr>
            <w:webHidden/>
          </w:rPr>
        </w:r>
        <w:r>
          <w:rPr>
            <w:webHidden/>
          </w:rPr>
          <w:fldChar w:fldCharType="separate"/>
        </w:r>
        <w:r>
          <w:rPr>
            <w:webHidden/>
          </w:rPr>
          <w:t>39</w:t>
        </w:r>
        <w:r>
          <w:rPr>
            <w:webHidden/>
          </w:rPr>
          <w:fldChar w:fldCharType="end"/>
        </w:r>
      </w:hyperlink>
    </w:p>
    <w:p w:rsidR="00917616" w:rsidRDefault="00917616">
      <w:pPr>
        <w:pStyle w:val="TOC1"/>
        <w:rPr>
          <w:rFonts w:cs="Times New Roman"/>
          <w:b w:val="0"/>
          <w:color w:val="auto"/>
          <w:sz w:val="22"/>
          <w:szCs w:val="22"/>
        </w:rPr>
      </w:pPr>
      <w:hyperlink w:anchor="_Toc531367213" w:history="1">
        <w:r w:rsidRPr="00FE2812">
          <w:rPr>
            <w:rStyle w:val="Hyperlink"/>
            <w:rFonts w:cs="Arial"/>
          </w:rPr>
          <w:t xml:space="preserve">PRILOG 1: </w:t>
        </w:r>
        <w:r w:rsidRPr="00FE2812">
          <w:rPr>
            <w:rStyle w:val="Hyperlink"/>
            <w:rFonts w:cs="Arial"/>
            <w:caps/>
          </w:rPr>
          <w:t>Akcioni plan</w:t>
        </w:r>
        <w:r>
          <w:rPr>
            <w:webHidden/>
          </w:rPr>
          <w:tab/>
        </w:r>
        <w:r>
          <w:rPr>
            <w:webHidden/>
          </w:rPr>
          <w:fldChar w:fldCharType="begin"/>
        </w:r>
        <w:r>
          <w:rPr>
            <w:webHidden/>
          </w:rPr>
          <w:instrText xml:space="preserve"> PAGEREF _Toc531367213 \h </w:instrText>
        </w:r>
        <w:r>
          <w:rPr>
            <w:webHidden/>
          </w:rPr>
        </w:r>
        <w:r>
          <w:rPr>
            <w:webHidden/>
          </w:rPr>
          <w:fldChar w:fldCharType="separate"/>
        </w:r>
        <w:r>
          <w:rPr>
            <w:webHidden/>
          </w:rPr>
          <w:t>40</w:t>
        </w:r>
        <w:r>
          <w:rPr>
            <w:webHidden/>
          </w:rPr>
          <w:fldChar w:fldCharType="end"/>
        </w:r>
      </w:hyperlink>
    </w:p>
    <w:p w:rsidR="00917616" w:rsidRPr="000345E1" w:rsidRDefault="00917616" w:rsidP="00E7415E">
      <w:pPr>
        <w:overflowPunct/>
        <w:autoSpaceDE/>
        <w:autoSpaceDN/>
        <w:adjustRightInd/>
        <w:spacing w:line="276" w:lineRule="auto"/>
        <w:jc w:val="left"/>
        <w:textAlignment w:val="auto"/>
      </w:pPr>
      <w:r w:rsidRPr="000345E1">
        <w:fldChar w:fldCharType="end"/>
      </w:r>
      <w:r w:rsidRPr="000345E1">
        <w:t xml:space="preserve"> </w:t>
      </w:r>
    </w:p>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pPr>
      <w:r w:rsidRPr="000345E1">
        <w:br w:type="page"/>
      </w:r>
    </w:p>
    <w:p w:rsidR="00917616" w:rsidRPr="000345E1" w:rsidRDefault="00917616" w:rsidP="00E7415E">
      <w:pPr>
        <w:overflowPunct/>
        <w:autoSpaceDE/>
        <w:autoSpaceDN/>
        <w:adjustRightInd/>
        <w:spacing w:line="276" w:lineRule="auto"/>
        <w:jc w:val="left"/>
        <w:textAlignment w:val="auto"/>
        <w:rPr>
          <w:b/>
          <w:color w:val="121754"/>
          <w:sz w:val="28"/>
          <w:szCs w:val="28"/>
        </w:rPr>
      </w:pPr>
      <w:r w:rsidRPr="000345E1">
        <w:rPr>
          <w:b/>
          <w:color w:val="121754"/>
          <w:sz w:val="28"/>
          <w:szCs w:val="28"/>
        </w:rPr>
        <w:t>SPISAK SKRAĆENICA</w:t>
      </w:r>
      <w:r w:rsidRPr="000345E1">
        <w:rPr>
          <w:b/>
          <w:color w:val="121754"/>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tblPr>
      <w:tblGrid>
        <w:gridCol w:w="1183"/>
        <w:gridCol w:w="7879"/>
      </w:tblGrid>
      <w:tr w:rsidR="00917616" w:rsidRPr="00BE4401" w:rsidTr="00786508">
        <w:trPr>
          <w:tblHeader/>
        </w:trPr>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EBRD</w:t>
            </w:r>
          </w:p>
        </w:tc>
        <w:tc>
          <w:tcPr>
            <w:tcW w:w="7879" w:type="dxa"/>
          </w:tcPr>
          <w:p w:rsidR="00917616" w:rsidRPr="00BE4401" w:rsidRDefault="00917616" w:rsidP="00786508">
            <w:pPr>
              <w:overflowPunct/>
              <w:autoSpaceDE/>
              <w:autoSpaceDN/>
              <w:adjustRightInd/>
              <w:spacing w:line="276" w:lineRule="auto"/>
              <w:jc w:val="left"/>
              <w:textAlignment w:val="auto"/>
              <w:rPr>
                <w:b/>
                <w:sz w:val="20"/>
                <w:lang w:val="pl-PL"/>
              </w:rPr>
            </w:pPr>
            <w:r w:rsidRPr="00BE4401">
              <w:rPr>
                <w:sz w:val="20"/>
                <w:lang w:val="pl-PL"/>
              </w:rPr>
              <w:t>Evropska banka za obnovu i razvoj</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EU</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Evropska unija</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ESC</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Ugovaranje isporuke energije</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ESCO</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Kompanija za energetske usluge</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JLS</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Jedinica lokalne samouprave</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JPP</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Javno-privatno partnerstvo</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KfW</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Nemačka razvojna banka</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KUJU</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Kancelarija za upravljanje javnim ulaganjima</w:t>
            </w:r>
          </w:p>
        </w:tc>
      </w:tr>
      <w:tr w:rsidR="00917616" w:rsidRPr="00786508" w:rsidTr="00786508">
        <w:tc>
          <w:tcPr>
            <w:tcW w:w="1183" w:type="dxa"/>
          </w:tcPr>
          <w:p w:rsidR="00917616" w:rsidRPr="00786508" w:rsidRDefault="00917616" w:rsidP="00786508">
            <w:pPr>
              <w:overflowPunct/>
              <w:autoSpaceDE/>
              <w:autoSpaceDN/>
              <w:adjustRightInd/>
              <w:spacing w:line="276" w:lineRule="auto"/>
              <w:jc w:val="left"/>
              <w:textAlignment w:val="auto"/>
              <w:rPr>
                <w:b/>
                <w:sz w:val="20"/>
              </w:rPr>
            </w:pPr>
            <w:r w:rsidRPr="00786508">
              <w:rPr>
                <w:b/>
                <w:sz w:val="20"/>
              </w:rPr>
              <w:t>MRE</w:t>
            </w:r>
          </w:p>
        </w:tc>
        <w:tc>
          <w:tcPr>
            <w:tcW w:w="7879" w:type="dxa"/>
          </w:tcPr>
          <w:p w:rsidR="00917616" w:rsidRPr="00786508" w:rsidRDefault="00917616" w:rsidP="00786508">
            <w:pPr>
              <w:overflowPunct/>
              <w:autoSpaceDE/>
              <w:autoSpaceDN/>
              <w:adjustRightInd/>
              <w:spacing w:line="276" w:lineRule="auto"/>
              <w:jc w:val="left"/>
              <w:textAlignment w:val="auto"/>
              <w:rPr>
                <w:sz w:val="20"/>
              </w:rPr>
            </w:pPr>
            <w:r w:rsidRPr="00786508">
              <w:rPr>
                <w:sz w:val="20"/>
              </w:rPr>
              <w:t>Ministarstvo rudarstva i energetike</w:t>
            </w:r>
          </w:p>
        </w:tc>
      </w:tr>
      <w:tr w:rsidR="00917616" w:rsidRPr="00BE4401" w:rsidTr="00786508">
        <w:tc>
          <w:tcPr>
            <w:tcW w:w="1183" w:type="dxa"/>
          </w:tcPr>
          <w:p w:rsidR="00917616" w:rsidRPr="00786508" w:rsidRDefault="00917616" w:rsidP="00786508">
            <w:pPr>
              <w:overflowPunct/>
              <w:autoSpaceDE/>
              <w:autoSpaceDN/>
              <w:adjustRightInd/>
              <w:spacing w:line="276" w:lineRule="auto"/>
              <w:jc w:val="left"/>
              <w:textAlignment w:val="auto"/>
              <w:rPr>
                <w:b/>
                <w:color w:val="FFFFFF"/>
                <w:sz w:val="20"/>
              </w:rPr>
            </w:pPr>
            <w:r w:rsidRPr="00786508">
              <w:rPr>
                <w:b/>
                <w:sz w:val="20"/>
              </w:rPr>
              <w:t>SKGO</w:t>
            </w:r>
          </w:p>
        </w:tc>
        <w:tc>
          <w:tcPr>
            <w:tcW w:w="7879" w:type="dxa"/>
          </w:tcPr>
          <w:p w:rsidR="00917616" w:rsidRPr="00BE4401" w:rsidRDefault="00917616" w:rsidP="00786508">
            <w:pPr>
              <w:overflowPunct/>
              <w:autoSpaceDE/>
              <w:autoSpaceDN/>
              <w:adjustRightInd/>
              <w:spacing w:line="276" w:lineRule="auto"/>
              <w:jc w:val="left"/>
              <w:textAlignment w:val="auto"/>
              <w:rPr>
                <w:sz w:val="20"/>
                <w:lang w:val="pl-PL"/>
              </w:rPr>
            </w:pPr>
            <w:r w:rsidRPr="00BE4401">
              <w:rPr>
                <w:sz w:val="20"/>
                <w:lang w:val="pl-PL"/>
              </w:rPr>
              <w:t>Stalna konferencija gradova i opština</w:t>
            </w:r>
          </w:p>
        </w:tc>
      </w:tr>
      <w:tr w:rsidR="00917616" w:rsidRPr="00BE4401" w:rsidTr="00786508">
        <w:tc>
          <w:tcPr>
            <w:tcW w:w="1183" w:type="dxa"/>
          </w:tcPr>
          <w:p w:rsidR="00917616" w:rsidRPr="00786508" w:rsidRDefault="00917616" w:rsidP="00786508">
            <w:pPr>
              <w:overflowPunct/>
              <w:autoSpaceDE/>
              <w:autoSpaceDN/>
              <w:adjustRightInd/>
              <w:spacing w:line="276" w:lineRule="auto"/>
              <w:jc w:val="left"/>
              <w:textAlignment w:val="auto"/>
              <w:rPr>
                <w:b/>
                <w:color w:val="FFFFFF"/>
                <w:sz w:val="20"/>
              </w:rPr>
            </w:pPr>
            <w:r w:rsidRPr="00786508">
              <w:rPr>
                <w:b/>
                <w:sz w:val="20"/>
              </w:rPr>
              <w:t>UNDP</w:t>
            </w:r>
          </w:p>
        </w:tc>
        <w:tc>
          <w:tcPr>
            <w:tcW w:w="7879" w:type="dxa"/>
          </w:tcPr>
          <w:p w:rsidR="00917616" w:rsidRPr="00BE4401" w:rsidRDefault="00917616" w:rsidP="00786508">
            <w:pPr>
              <w:overflowPunct/>
              <w:autoSpaceDE/>
              <w:autoSpaceDN/>
              <w:adjustRightInd/>
              <w:spacing w:line="276" w:lineRule="auto"/>
              <w:jc w:val="left"/>
              <w:textAlignment w:val="auto"/>
              <w:rPr>
                <w:sz w:val="20"/>
                <w:lang w:val="pl-PL"/>
              </w:rPr>
            </w:pPr>
            <w:r w:rsidRPr="00BE4401">
              <w:rPr>
                <w:sz w:val="20"/>
                <w:lang w:val="pl-PL"/>
              </w:rPr>
              <w:t>Program Ujedinjenih nacija za razvoj</w:t>
            </w:r>
          </w:p>
        </w:tc>
      </w:tr>
    </w:tbl>
    <w:p w:rsidR="00917616" w:rsidRPr="00BE4401" w:rsidRDefault="00917616" w:rsidP="00E7415E">
      <w:pPr>
        <w:overflowPunct/>
        <w:autoSpaceDE/>
        <w:autoSpaceDN/>
        <w:adjustRightInd/>
        <w:spacing w:line="276" w:lineRule="auto"/>
        <w:jc w:val="left"/>
        <w:textAlignment w:val="auto"/>
        <w:rPr>
          <w:lang w:val="pl-PL"/>
        </w:rPr>
      </w:pPr>
    </w:p>
    <w:p w:rsidR="00917616" w:rsidRPr="00BE4401" w:rsidRDefault="00917616" w:rsidP="00E7415E">
      <w:pPr>
        <w:overflowPunct/>
        <w:autoSpaceDE/>
        <w:autoSpaceDN/>
        <w:adjustRightInd/>
        <w:spacing w:line="276" w:lineRule="auto"/>
        <w:jc w:val="left"/>
        <w:textAlignment w:val="auto"/>
        <w:rPr>
          <w:lang w:val="pl-PL"/>
        </w:rPr>
      </w:pPr>
    </w:p>
    <w:p w:rsidR="00917616" w:rsidRPr="00BE4401" w:rsidRDefault="00917616" w:rsidP="00E7415E">
      <w:pPr>
        <w:overflowPunct/>
        <w:autoSpaceDE/>
        <w:autoSpaceDN/>
        <w:adjustRightInd/>
        <w:spacing w:line="276" w:lineRule="auto"/>
        <w:jc w:val="left"/>
        <w:textAlignment w:val="auto"/>
        <w:rPr>
          <w:lang w:val="pl-PL"/>
        </w:rPr>
      </w:pPr>
      <w:r w:rsidRPr="00BE4401">
        <w:rPr>
          <w:lang w:val="pl-PL"/>
        </w:rPr>
        <w:br w:type="page"/>
      </w:r>
    </w:p>
    <w:p w:rsidR="00917616" w:rsidRPr="000345E1" w:rsidRDefault="00917616" w:rsidP="00E7415E">
      <w:pPr>
        <w:pStyle w:val="Heading1"/>
        <w:numPr>
          <w:ilvl w:val="0"/>
          <w:numId w:val="12"/>
        </w:numPr>
        <w:spacing w:before="0" w:after="120" w:line="276" w:lineRule="auto"/>
      </w:pPr>
      <w:bookmarkStart w:id="0" w:name="_Toc531367196"/>
      <w:r w:rsidRPr="000345E1">
        <w:t>UVOD</w:t>
      </w:r>
      <w:bookmarkEnd w:id="0"/>
    </w:p>
    <w:p w:rsidR="00917616" w:rsidRPr="000345E1" w:rsidRDefault="00917616" w:rsidP="00E7415E">
      <w:pPr>
        <w:pStyle w:val="Heading2"/>
        <w:numPr>
          <w:ilvl w:val="1"/>
          <w:numId w:val="12"/>
        </w:numPr>
        <w:spacing w:before="0" w:after="120" w:line="276" w:lineRule="auto"/>
      </w:pPr>
      <w:bookmarkStart w:id="1" w:name="_Toc531367197"/>
      <w:r w:rsidRPr="000345E1">
        <w:t>NOSILAC PROGRAMA</w:t>
      </w:r>
      <w:bookmarkEnd w:id="1"/>
    </w:p>
    <w:p w:rsidR="00917616" w:rsidRPr="000345E1" w:rsidRDefault="00917616" w:rsidP="00E7415E">
      <w:pPr>
        <w:overflowPunct/>
        <w:autoSpaceDE/>
        <w:autoSpaceDN/>
        <w:adjustRightInd/>
        <w:spacing w:line="276" w:lineRule="auto"/>
        <w:textAlignment w:val="auto"/>
      </w:pPr>
      <w:r w:rsidRPr="000345E1">
        <w:t xml:space="preserve">Program korišćenja biomase u energetske svrhe je planski dokument koji donosi </w:t>
      </w:r>
      <w:r>
        <w:t>O</w:t>
      </w:r>
      <w:r w:rsidRPr="000345E1">
        <w:t xml:space="preserve">pština Petrovac na Mlavi. </w:t>
      </w:r>
    </w:p>
    <w:p w:rsidR="00917616" w:rsidRPr="000345E1" w:rsidRDefault="00917616" w:rsidP="00E7415E">
      <w:pPr>
        <w:overflowPunct/>
        <w:autoSpaceDE/>
        <w:autoSpaceDN/>
        <w:adjustRightInd/>
        <w:spacing w:line="276" w:lineRule="auto"/>
        <w:jc w:val="left"/>
        <w:textAlignment w:val="auto"/>
        <w:rPr>
          <w:i/>
        </w:rPr>
      </w:pPr>
    </w:p>
    <w:p w:rsidR="00917616" w:rsidRPr="00BE4401" w:rsidRDefault="00917616" w:rsidP="00E7415E">
      <w:pPr>
        <w:pStyle w:val="Heading2"/>
        <w:numPr>
          <w:ilvl w:val="1"/>
          <w:numId w:val="12"/>
        </w:numPr>
        <w:spacing w:before="0" w:after="120" w:line="276" w:lineRule="auto"/>
        <w:rPr>
          <w:lang w:val="pl-PL"/>
        </w:rPr>
      </w:pPr>
      <w:bookmarkStart w:id="2" w:name="_Toc531367198"/>
      <w:r w:rsidRPr="00BE4401">
        <w:rPr>
          <w:lang w:val="pl-PL"/>
        </w:rPr>
        <w:t>RAZLOG DONOŠENJA PROGRAMA I NJEGOV SADRŽAJ</w:t>
      </w:r>
      <w:bookmarkEnd w:id="2"/>
    </w:p>
    <w:p w:rsidR="00917616" w:rsidRPr="00BE4401" w:rsidRDefault="00917616" w:rsidP="00E7415E">
      <w:pPr>
        <w:overflowPunct/>
        <w:autoSpaceDE/>
        <w:autoSpaceDN/>
        <w:adjustRightInd/>
        <w:spacing w:line="276" w:lineRule="auto"/>
        <w:textAlignment w:val="auto"/>
        <w:rPr>
          <w:lang w:val="pl-PL"/>
        </w:rPr>
      </w:pPr>
      <w:r w:rsidRPr="00BE4401">
        <w:rPr>
          <w:lang w:val="pl-PL"/>
        </w:rPr>
        <w:t>Ovaj Program se donosi sa ciljem podsticanja upotrebe lokalno raspoložive biomase za proizvodnju energije. Na ovaj način se poboljšava energetskih bilans opštine, smanjuje zavisnost od fosilnih goriva i emisija gasova sa efektom staklene bašte. Jačanjem lanca snabdevanja biomasom potpomaže se razvoj lokalne privrede i povećanje prihoda. Takođe, jačanjem lokalnog tržišta biomasom uključuje se veći broj učesnika u lanac snabdevanja i otvara mogućnost za nova radna mesta.</w:t>
      </w:r>
    </w:p>
    <w:p w:rsidR="00917616" w:rsidRPr="00BE4401" w:rsidRDefault="00917616" w:rsidP="00E7415E">
      <w:pPr>
        <w:overflowPunct/>
        <w:autoSpaceDE/>
        <w:autoSpaceDN/>
        <w:adjustRightInd/>
        <w:spacing w:line="276" w:lineRule="auto"/>
        <w:jc w:val="left"/>
        <w:textAlignment w:val="auto"/>
        <w:rPr>
          <w:lang w:val="pl-PL"/>
        </w:rPr>
      </w:pPr>
    </w:p>
    <w:p w:rsidR="00917616" w:rsidRPr="00BE4401" w:rsidRDefault="00917616" w:rsidP="00E7415E">
      <w:pPr>
        <w:pStyle w:val="Heading2"/>
        <w:numPr>
          <w:ilvl w:val="1"/>
          <w:numId w:val="12"/>
        </w:numPr>
        <w:spacing w:before="0" w:after="120" w:line="276" w:lineRule="auto"/>
        <w:rPr>
          <w:i/>
          <w:lang w:val="pl-PL"/>
        </w:rPr>
      </w:pPr>
      <w:bookmarkStart w:id="3" w:name="_Toc531367199"/>
      <w:r w:rsidRPr="00BE4401">
        <w:rPr>
          <w:lang w:val="pl-PL"/>
        </w:rPr>
        <w:t>PLANIRANI VREMENSKI ROK NA KOJI SE DONOSI PROGRAM</w:t>
      </w:r>
      <w:bookmarkEnd w:id="3"/>
      <w:r w:rsidRPr="00BE4401">
        <w:rPr>
          <w:lang w:val="pl-PL"/>
        </w:rPr>
        <w:br/>
      </w:r>
    </w:p>
    <w:p w:rsidR="00917616" w:rsidRPr="00BE4401" w:rsidRDefault="00917616" w:rsidP="00E7415E">
      <w:pPr>
        <w:overflowPunct/>
        <w:autoSpaceDE/>
        <w:autoSpaceDN/>
        <w:adjustRightInd/>
        <w:spacing w:line="276" w:lineRule="auto"/>
        <w:jc w:val="left"/>
        <w:textAlignment w:val="auto"/>
        <w:rPr>
          <w:lang w:val="pl-PL"/>
        </w:rPr>
      </w:pPr>
      <w:r w:rsidRPr="00BE4401">
        <w:rPr>
          <w:lang w:val="pl-PL"/>
        </w:rPr>
        <w:t>Ovaj Program se donosi z</w:t>
      </w:r>
      <w:r>
        <w:rPr>
          <w:lang w:val="pl-PL"/>
        </w:rPr>
        <w:t>a period od tri godine i to 2021-2024</w:t>
      </w:r>
      <w:r w:rsidRPr="00BE4401">
        <w:rPr>
          <w:i/>
          <w:lang w:val="pl-PL"/>
        </w:rPr>
        <w:t>.</w:t>
      </w:r>
      <w:r w:rsidRPr="00BE4401">
        <w:rPr>
          <w:i/>
          <w:lang w:val="pl-PL"/>
        </w:rPr>
        <w:br/>
      </w:r>
    </w:p>
    <w:p w:rsidR="00917616" w:rsidRPr="00BE4401" w:rsidRDefault="00917616" w:rsidP="00E7415E">
      <w:pPr>
        <w:pStyle w:val="Heading2"/>
        <w:numPr>
          <w:ilvl w:val="1"/>
          <w:numId w:val="12"/>
        </w:numPr>
        <w:spacing w:before="0" w:after="120" w:line="276" w:lineRule="auto"/>
        <w:rPr>
          <w:lang w:val="pl-PL"/>
        </w:rPr>
      </w:pPr>
      <w:bookmarkStart w:id="4" w:name="_Toc531367200"/>
      <w:r w:rsidRPr="00BE4401">
        <w:rPr>
          <w:lang w:val="pl-PL"/>
        </w:rPr>
        <w:t>USKLAĐENOST PROGRAMA SA DRUGIM DOKUMENTIMA LOKALNE I NACIONALNE POLITIKE</w:t>
      </w:r>
      <w:bookmarkEnd w:id="4"/>
    </w:p>
    <w:p w:rsidR="00917616" w:rsidRPr="00BE4401" w:rsidRDefault="00917616" w:rsidP="00E7415E">
      <w:pPr>
        <w:overflowPunct/>
        <w:autoSpaceDE/>
        <w:autoSpaceDN/>
        <w:adjustRightInd/>
        <w:spacing w:line="276" w:lineRule="auto"/>
        <w:textAlignment w:val="auto"/>
        <w:rPr>
          <w:i/>
          <w:lang w:val="pl-PL"/>
        </w:rPr>
      </w:pPr>
      <w:r w:rsidRPr="00BE4401">
        <w:rPr>
          <w:lang w:val="pl-PL"/>
        </w:rPr>
        <w:t>Program je u skladu sa Akcionim planom za korišćenje obnovljivih izvora energije Republike Srbije koji prepoznaje biomasu kao OIE sa najvećim potencijalom u Srbiji.</w:t>
      </w:r>
      <w:r w:rsidRPr="00BE4401">
        <w:rPr>
          <w:i/>
          <w:lang w:val="pl-PL"/>
        </w:rPr>
        <w:t xml:space="preserve"> </w:t>
      </w:r>
    </w:p>
    <w:p w:rsidR="00917616" w:rsidRPr="00BE4401" w:rsidRDefault="00917616" w:rsidP="00E7415E">
      <w:pPr>
        <w:overflowPunct/>
        <w:autoSpaceDE/>
        <w:autoSpaceDN/>
        <w:adjustRightInd/>
        <w:spacing w:line="276" w:lineRule="auto"/>
        <w:textAlignment w:val="auto"/>
        <w:rPr>
          <w:lang w:val="pl-PL"/>
        </w:rPr>
      </w:pPr>
      <w:r w:rsidRPr="00BE4401">
        <w:rPr>
          <w:lang w:val="pl-PL"/>
        </w:rPr>
        <w:t xml:space="preserve">Prema Zakonu o energetici (Sl. glasnik RS, br 145/2014) biomasa je biorazgradivi deo proizvoda, otpada i ostataka biološkog porekla iz poljoprivrede (uključujući biljne i životinjske materije), šumarstva i povezanih industrija, kao i biorazgradivi deo industrijskog i komunalnog otpada i jedan je od obnovljivih izvora energije. </w:t>
      </w:r>
    </w:p>
    <w:p w:rsidR="00917616" w:rsidRPr="00BE4401" w:rsidRDefault="00917616" w:rsidP="00E7415E">
      <w:pPr>
        <w:overflowPunct/>
        <w:autoSpaceDE/>
        <w:autoSpaceDN/>
        <w:adjustRightInd/>
        <w:spacing w:line="276" w:lineRule="auto"/>
        <w:textAlignment w:val="auto"/>
        <w:rPr>
          <w:lang w:val="pl-PL"/>
        </w:rPr>
      </w:pPr>
      <w:r w:rsidRPr="00BE4401">
        <w:rPr>
          <w:lang w:val="pl-PL"/>
        </w:rPr>
        <w:t>Malo širu definiciju daje standard SRPS EN ISO 16559 (2015): biomasa je organski materijal na biljnoj ili životinjskoj bazi, u koju spadaju određene energetske kulture, poljoprivredne kulture i drveće, ostaci od hrane, stočne hrane i vlakana, vodene biljke, alge, ostaci iz šumarstva i drvni ostaci, poljoprivredni otpad, nusproizvodi iz prerade i druge nefosilne organske materije.</w:t>
      </w:r>
    </w:p>
    <w:p w:rsidR="00917616" w:rsidRPr="00BE4401" w:rsidRDefault="00917616" w:rsidP="00E7415E">
      <w:pPr>
        <w:spacing w:line="276" w:lineRule="auto"/>
        <w:rPr>
          <w:lang w:val="pl-PL"/>
        </w:rPr>
      </w:pPr>
      <w:r w:rsidRPr="00BE4401">
        <w:rPr>
          <w:lang w:val="pl-PL"/>
        </w:rPr>
        <w:t xml:space="preserve">Drvna biomasa je </w:t>
      </w:r>
      <w:r w:rsidRPr="00BE4401">
        <w:rPr>
          <w:i/>
          <w:lang w:val="pl-PL"/>
        </w:rPr>
        <w:t>biomasa</w:t>
      </w:r>
      <w:r w:rsidRPr="00BE4401">
        <w:rPr>
          <w:lang w:val="pl-PL"/>
        </w:rPr>
        <w:t xml:space="preserve"> koja potiče od drveća, grmlja i žbunja. Ovom definicijom su obuhvaćeni drvo iz šuma, plantaža i drugo potpuno prirodno drvo, sporedni proizvodi i ostaci iz industrijske prerade drveta i korišćeno drvo.</w:t>
      </w:r>
    </w:p>
    <w:p w:rsidR="00917616" w:rsidRPr="00BE4401" w:rsidRDefault="00917616" w:rsidP="00E7415E">
      <w:pPr>
        <w:overflowPunct/>
        <w:autoSpaceDE/>
        <w:autoSpaceDN/>
        <w:adjustRightInd/>
        <w:spacing w:line="276" w:lineRule="auto"/>
        <w:textAlignment w:val="auto"/>
        <w:rPr>
          <w:lang w:val="pl-PL"/>
        </w:rPr>
      </w:pPr>
      <w:r w:rsidRPr="00BE4401">
        <w:rPr>
          <w:lang w:val="pl-PL"/>
        </w:rPr>
        <w:t>Poljoprivredna biomasa je biomasa iz poljoprivredne proizvodnje (biljne i životinjske materije), kao i biomasa iz prehrambene industrije koja je biljnog ili životinjskog porekla.</w:t>
      </w:r>
    </w:p>
    <w:p w:rsidR="00917616" w:rsidRPr="00BE4401" w:rsidRDefault="00917616" w:rsidP="00E7415E">
      <w:pPr>
        <w:overflowPunct/>
        <w:autoSpaceDE/>
        <w:autoSpaceDN/>
        <w:adjustRightInd/>
        <w:spacing w:line="276" w:lineRule="auto"/>
        <w:textAlignment w:val="auto"/>
        <w:rPr>
          <w:lang w:val="pl-PL"/>
        </w:rPr>
      </w:pPr>
      <w:r w:rsidRPr="00BE4401">
        <w:rPr>
          <w:lang w:val="pl-PL"/>
        </w:rPr>
        <w:t>Takođe, Program je u skladu sa Zakonom o efikasnom korišćenju energije Republike Srbije jer se upotreba obnovljivih izvora energije za proizvodnju električne ili toplotne energije za sopstvenu potrošnju smatra merom energetske efikasnosti. Budžetski fond za energetsku efikasnost takođe sufinansira ovakve mere u jedinicama lokalne samouprave. Program je u skladu sa Lokalnom strategijom održivog razvoja opštine Petrovac na Mlavi 2015-2020. koja prepoznaje značaj i mogućnost korišćenja biomase kao obnovljivog izvora energije.</w:t>
      </w:r>
    </w:p>
    <w:p w:rsidR="00917616" w:rsidRPr="00BE4401" w:rsidRDefault="00917616" w:rsidP="00E7415E">
      <w:pPr>
        <w:overflowPunct/>
        <w:autoSpaceDE/>
        <w:autoSpaceDN/>
        <w:adjustRightInd/>
        <w:spacing w:line="276" w:lineRule="auto"/>
        <w:textAlignment w:val="auto"/>
        <w:rPr>
          <w:i/>
          <w:lang w:val="pl-PL"/>
        </w:rPr>
      </w:pPr>
    </w:p>
    <w:p w:rsidR="00917616" w:rsidRPr="000345E1" w:rsidRDefault="00917616" w:rsidP="00E7415E">
      <w:pPr>
        <w:pStyle w:val="Heading2"/>
        <w:numPr>
          <w:ilvl w:val="1"/>
          <w:numId w:val="12"/>
        </w:numPr>
        <w:spacing w:before="0" w:after="120" w:line="276" w:lineRule="auto"/>
      </w:pPr>
      <w:bookmarkStart w:id="5" w:name="_Toc531367201"/>
      <w:r w:rsidRPr="000345E1">
        <w:t>KORIŠĆENA METODOLOGIJA</w:t>
      </w:r>
      <w:bookmarkEnd w:id="5"/>
    </w:p>
    <w:p w:rsidR="00917616" w:rsidRPr="000345E1" w:rsidRDefault="00917616" w:rsidP="00E7415E">
      <w:pPr>
        <w:spacing w:line="276" w:lineRule="auto"/>
        <w:rPr>
          <w:rFonts w:cs="Arial"/>
          <w:szCs w:val="24"/>
        </w:rPr>
      </w:pPr>
      <w:r w:rsidRPr="000345E1">
        <w:rPr>
          <w:rFonts w:cs="Arial"/>
          <w:szCs w:val="24"/>
        </w:rPr>
        <w:t>Metodologija obuhvata sledeće korake:</w:t>
      </w:r>
    </w:p>
    <w:p w:rsidR="00917616" w:rsidRPr="000345E1" w:rsidRDefault="00917616" w:rsidP="00E7415E">
      <w:pPr>
        <w:numPr>
          <w:ilvl w:val="0"/>
          <w:numId w:val="23"/>
        </w:numPr>
        <w:spacing w:line="276" w:lineRule="auto"/>
        <w:rPr>
          <w:rFonts w:cs="Arial"/>
          <w:szCs w:val="24"/>
        </w:rPr>
      </w:pPr>
      <w:r w:rsidRPr="000345E1">
        <w:rPr>
          <w:rFonts w:cs="Arial"/>
          <w:szCs w:val="24"/>
        </w:rPr>
        <w:t>Izradu bilansa drvne i poljoprivredne biomase na nivou opštine kao presek trenutnog stanja,</w:t>
      </w:r>
    </w:p>
    <w:p w:rsidR="00917616" w:rsidRPr="00BE4401" w:rsidRDefault="00917616" w:rsidP="00E7415E">
      <w:pPr>
        <w:numPr>
          <w:ilvl w:val="0"/>
          <w:numId w:val="23"/>
        </w:numPr>
        <w:spacing w:line="276" w:lineRule="auto"/>
        <w:rPr>
          <w:rFonts w:cs="Arial"/>
          <w:szCs w:val="24"/>
          <w:lang w:val="pl-PL"/>
        </w:rPr>
      </w:pPr>
      <w:r w:rsidRPr="00BE4401">
        <w:rPr>
          <w:rFonts w:cs="Arial"/>
          <w:szCs w:val="24"/>
          <w:lang w:val="pl-PL"/>
        </w:rPr>
        <w:t>Definisanje potencijala uzgoja energetskih zasada,</w:t>
      </w:r>
    </w:p>
    <w:p w:rsidR="00917616" w:rsidRPr="000345E1" w:rsidRDefault="00917616" w:rsidP="00E7415E">
      <w:pPr>
        <w:numPr>
          <w:ilvl w:val="0"/>
          <w:numId w:val="23"/>
        </w:numPr>
        <w:spacing w:line="276" w:lineRule="auto"/>
        <w:rPr>
          <w:rFonts w:cs="Arial"/>
          <w:szCs w:val="24"/>
        </w:rPr>
      </w:pPr>
      <w:r w:rsidRPr="000345E1">
        <w:rPr>
          <w:rFonts w:cs="Arial"/>
          <w:szCs w:val="24"/>
        </w:rPr>
        <w:t>SWOT analizu,</w:t>
      </w:r>
    </w:p>
    <w:p w:rsidR="00917616" w:rsidRPr="000345E1" w:rsidRDefault="00917616" w:rsidP="00E7415E">
      <w:pPr>
        <w:numPr>
          <w:ilvl w:val="0"/>
          <w:numId w:val="23"/>
        </w:numPr>
        <w:spacing w:line="276" w:lineRule="auto"/>
        <w:rPr>
          <w:rFonts w:cs="Arial"/>
          <w:szCs w:val="24"/>
        </w:rPr>
      </w:pPr>
      <w:r w:rsidRPr="000345E1">
        <w:rPr>
          <w:rFonts w:cs="Arial"/>
          <w:szCs w:val="24"/>
        </w:rPr>
        <w:t>Definisanje ciljeva programa i pojedinačnih mera za postizanje ciljeva,</w:t>
      </w:r>
    </w:p>
    <w:p w:rsidR="00917616" w:rsidRPr="00BE4401" w:rsidRDefault="00917616" w:rsidP="00E7415E">
      <w:pPr>
        <w:numPr>
          <w:ilvl w:val="0"/>
          <w:numId w:val="23"/>
        </w:numPr>
        <w:spacing w:line="276" w:lineRule="auto"/>
        <w:rPr>
          <w:rFonts w:cs="Arial"/>
          <w:szCs w:val="24"/>
          <w:lang w:val="pl-PL"/>
        </w:rPr>
      </w:pPr>
      <w:r w:rsidRPr="00BE4401">
        <w:rPr>
          <w:rFonts w:cs="Arial"/>
          <w:szCs w:val="24"/>
          <w:lang w:val="pl-PL"/>
        </w:rPr>
        <w:t>Definisanje akcionog plana za sprovođenje mera.</w:t>
      </w:r>
    </w:p>
    <w:p w:rsidR="00917616" w:rsidRPr="00BE4401" w:rsidRDefault="00917616" w:rsidP="00E7415E">
      <w:pPr>
        <w:spacing w:line="276" w:lineRule="auto"/>
        <w:rPr>
          <w:rFonts w:cs="Arial"/>
          <w:szCs w:val="24"/>
          <w:lang w:val="pl-PL"/>
        </w:rPr>
      </w:pPr>
    </w:p>
    <w:p w:rsidR="00917616" w:rsidRPr="00BE4401" w:rsidRDefault="00917616" w:rsidP="00E7415E">
      <w:pPr>
        <w:spacing w:line="276" w:lineRule="auto"/>
        <w:rPr>
          <w:rFonts w:cs="Arial"/>
          <w:szCs w:val="24"/>
          <w:lang w:val="pl-PL"/>
        </w:rPr>
      </w:pPr>
      <w:r w:rsidRPr="00BE4401">
        <w:rPr>
          <w:rFonts w:cs="Arial"/>
          <w:szCs w:val="24"/>
          <w:lang w:val="pl-PL"/>
        </w:rPr>
        <w:t xml:space="preserve">1. </w:t>
      </w:r>
      <w:r w:rsidRPr="00BE4401">
        <w:rPr>
          <w:rFonts w:cs="Arial"/>
          <w:b/>
          <w:szCs w:val="24"/>
          <w:lang w:val="pl-PL"/>
        </w:rPr>
        <w:t>Izrada bilansa</w:t>
      </w:r>
      <w:r w:rsidRPr="00BE4401">
        <w:rPr>
          <w:rFonts w:cs="Arial"/>
          <w:szCs w:val="24"/>
          <w:lang w:val="pl-PL"/>
        </w:rPr>
        <w:t xml:space="preserve"> obuhvata sledeće korake:</w:t>
      </w:r>
    </w:p>
    <w:p w:rsidR="00917616" w:rsidRPr="00BE4401" w:rsidRDefault="00917616" w:rsidP="00E7415E">
      <w:pPr>
        <w:numPr>
          <w:ilvl w:val="0"/>
          <w:numId w:val="24"/>
        </w:numPr>
        <w:spacing w:line="276" w:lineRule="auto"/>
        <w:rPr>
          <w:rFonts w:cs="Arial"/>
          <w:szCs w:val="24"/>
          <w:lang w:val="pl-PL"/>
        </w:rPr>
      </w:pPr>
      <w:r w:rsidRPr="00BE4401">
        <w:rPr>
          <w:rFonts w:cs="Arial"/>
          <w:szCs w:val="24"/>
          <w:lang w:val="pl-PL"/>
        </w:rPr>
        <w:t>Analizu raspoloživih potencijala biomase za izabranu opštinu,</w:t>
      </w:r>
    </w:p>
    <w:p w:rsidR="00917616" w:rsidRPr="00BE4401" w:rsidRDefault="00917616" w:rsidP="00E7415E">
      <w:pPr>
        <w:numPr>
          <w:ilvl w:val="0"/>
          <w:numId w:val="24"/>
        </w:numPr>
        <w:spacing w:line="276" w:lineRule="auto"/>
        <w:rPr>
          <w:rFonts w:cs="Arial"/>
          <w:szCs w:val="24"/>
          <w:lang w:val="pl-PL"/>
        </w:rPr>
      </w:pPr>
      <w:r w:rsidRPr="00BE4401">
        <w:rPr>
          <w:rFonts w:cs="Arial"/>
          <w:szCs w:val="24"/>
          <w:lang w:val="pl-PL"/>
        </w:rPr>
        <w:t>Utvrđivanje stvarne potrošnje drvne biomase po svim najznačajnijim kategorijama potrošača,</w:t>
      </w:r>
    </w:p>
    <w:p w:rsidR="00917616" w:rsidRPr="000345E1" w:rsidRDefault="00917616" w:rsidP="00E7415E">
      <w:pPr>
        <w:numPr>
          <w:ilvl w:val="0"/>
          <w:numId w:val="24"/>
        </w:numPr>
        <w:spacing w:line="276" w:lineRule="auto"/>
        <w:rPr>
          <w:rFonts w:cs="Arial"/>
          <w:szCs w:val="24"/>
        </w:rPr>
      </w:pPr>
      <w:r w:rsidRPr="000345E1">
        <w:rPr>
          <w:rFonts w:cs="Arial"/>
          <w:szCs w:val="24"/>
        </w:rPr>
        <w:t>Izrada bilansa.</w:t>
      </w:r>
    </w:p>
    <w:p w:rsidR="00917616" w:rsidRPr="000345E1" w:rsidRDefault="00917616" w:rsidP="00E7415E">
      <w:pPr>
        <w:spacing w:line="276" w:lineRule="auto"/>
        <w:rPr>
          <w:rFonts w:cs="Arial"/>
          <w:szCs w:val="24"/>
        </w:rPr>
      </w:pPr>
    </w:p>
    <w:p w:rsidR="00917616" w:rsidRPr="00BE4401" w:rsidRDefault="00917616" w:rsidP="00E7415E">
      <w:pPr>
        <w:pStyle w:val="ListParagraph"/>
        <w:numPr>
          <w:ilvl w:val="0"/>
          <w:numId w:val="28"/>
        </w:numPr>
        <w:overflowPunct/>
        <w:autoSpaceDE/>
        <w:autoSpaceDN/>
        <w:adjustRightInd/>
        <w:spacing w:line="276" w:lineRule="auto"/>
        <w:contextualSpacing w:val="0"/>
        <w:jc w:val="left"/>
        <w:textAlignment w:val="auto"/>
        <w:rPr>
          <w:rFonts w:cs="Arial"/>
          <w:b/>
          <w:szCs w:val="24"/>
          <w:u w:val="single"/>
          <w:lang w:val="pl-PL"/>
        </w:rPr>
      </w:pPr>
      <w:r w:rsidRPr="00BE4401">
        <w:rPr>
          <w:rFonts w:cs="Arial"/>
          <w:b/>
          <w:szCs w:val="24"/>
          <w:u w:val="single"/>
          <w:lang w:val="pl-PL"/>
        </w:rPr>
        <w:t>Analiza raspoloživih potencijala biomase za opštinu Petrovac na Mlavi</w:t>
      </w:r>
    </w:p>
    <w:p w:rsidR="00917616" w:rsidRPr="00BE4401" w:rsidRDefault="00917616" w:rsidP="00E7415E">
      <w:pPr>
        <w:spacing w:line="276" w:lineRule="auto"/>
        <w:rPr>
          <w:rFonts w:cs="Arial"/>
          <w:szCs w:val="24"/>
          <w:lang w:val="pl-PL"/>
        </w:rPr>
      </w:pPr>
    </w:p>
    <w:p w:rsidR="00917616" w:rsidRPr="00BE4401" w:rsidRDefault="00917616" w:rsidP="00E7415E">
      <w:pPr>
        <w:spacing w:line="276" w:lineRule="auto"/>
        <w:rPr>
          <w:rFonts w:cs="Arial"/>
          <w:szCs w:val="24"/>
          <w:lang w:val="pl-PL"/>
        </w:rPr>
      </w:pPr>
      <w:r w:rsidRPr="00BE4401">
        <w:rPr>
          <w:rFonts w:cs="Arial"/>
          <w:szCs w:val="24"/>
          <w:lang w:val="pl-PL"/>
        </w:rPr>
        <w:t>Analiza potencijala biomase kojima raspolaže opština Petrovac na Mlavi podeljena je u tri kategorije:</w:t>
      </w:r>
    </w:p>
    <w:p w:rsidR="00917616" w:rsidRPr="000345E1" w:rsidRDefault="00917616" w:rsidP="00E7415E">
      <w:pPr>
        <w:pStyle w:val="ListParagraph"/>
        <w:numPr>
          <w:ilvl w:val="0"/>
          <w:numId w:val="20"/>
        </w:numPr>
        <w:overflowPunct/>
        <w:autoSpaceDE/>
        <w:autoSpaceDN/>
        <w:adjustRightInd/>
        <w:spacing w:line="276" w:lineRule="auto"/>
        <w:contextualSpacing w:val="0"/>
        <w:textAlignment w:val="auto"/>
        <w:rPr>
          <w:rFonts w:cs="Arial"/>
          <w:szCs w:val="24"/>
        </w:rPr>
      </w:pPr>
      <w:r w:rsidRPr="000345E1">
        <w:rPr>
          <w:rFonts w:cs="Arial"/>
          <w:szCs w:val="24"/>
        </w:rPr>
        <w:t>Analiza po</w:t>
      </w:r>
      <w:r>
        <w:rPr>
          <w:rFonts w:cs="Arial"/>
          <w:szCs w:val="24"/>
        </w:rPr>
        <w:t>tencijala biomase iz šumarstva,</w:t>
      </w:r>
    </w:p>
    <w:p w:rsidR="00917616" w:rsidRPr="00BE4401" w:rsidRDefault="00917616" w:rsidP="00E7415E">
      <w:pPr>
        <w:pStyle w:val="ListParagraph"/>
        <w:numPr>
          <w:ilvl w:val="0"/>
          <w:numId w:val="20"/>
        </w:numPr>
        <w:overflowPunct/>
        <w:autoSpaceDE/>
        <w:autoSpaceDN/>
        <w:adjustRightInd/>
        <w:spacing w:line="276" w:lineRule="auto"/>
        <w:contextualSpacing w:val="0"/>
        <w:textAlignment w:val="auto"/>
        <w:rPr>
          <w:rFonts w:cs="Arial"/>
          <w:szCs w:val="24"/>
          <w:lang w:val="pl-PL"/>
        </w:rPr>
      </w:pPr>
      <w:r w:rsidRPr="00BE4401">
        <w:rPr>
          <w:rFonts w:cs="Arial"/>
          <w:szCs w:val="24"/>
          <w:lang w:val="pl-PL"/>
        </w:rPr>
        <w:t>Analiza ostalih potencijala drvne biomase,</w:t>
      </w:r>
    </w:p>
    <w:p w:rsidR="00917616" w:rsidRPr="00BE4401" w:rsidRDefault="00917616" w:rsidP="00E7415E">
      <w:pPr>
        <w:pStyle w:val="ListParagraph"/>
        <w:numPr>
          <w:ilvl w:val="0"/>
          <w:numId w:val="20"/>
        </w:numPr>
        <w:overflowPunct/>
        <w:autoSpaceDE/>
        <w:autoSpaceDN/>
        <w:adjustRightInd/>
        <w:spacing w:line="276" w:lineRule="auto"/>
        <w:contextualSpacing w:val="0"/>
        <w:textAlignment w:val="auto"/>
        <w:rPr>
          <w:rFonts w:cs="Arial"/>
          <w:szCs w:val="24"/>
          <w:lang w:val="pl-PL"/>
        </w:rPr>
      </w:pPr>
      <w:r w:rsidRPr="00BE4401">
        <w:rPr>
          <w:rFonts w:cs="Arial"/>
          <w:szCs w:val="24"/>
          <w:lang w:val="pl-PL"/>
        </w:rPr>
        <w:t>Analiza potencijala poljoprivredne biomase (uključujući organski otpad iz prehrambene proizvodnje).</w:t>
      </w:r>
    </w:p>
    <w:p w:rsidR="00917616" w:rsidRPr="00BE4401" w:rsidRDefault="00917616" w:rsidP="00E7415E">
      <w:pPr>
        <w:spacing w:line="276" w:lineRule="auto"/>
        <w:rPr>
          <w:rFonts w:cs="Arial"/>
          <w:szCs w:val="24"/>
          <w:lang w:val="pl-PL"/>
        </w:rPr>
      </w:pPr>
    </w:p>
    <w:p w:rsidR="00917616" w:rsidRPr="00BE4401" w:rsidRDefault="00917616" w:rsidP="00E7415E">
      <w:pPr>
        <w:spacing w:line="276" w:lineRule="auto"/>
        <w:rPr>
          <w:rFonts w:cs="Arial"/>
          <w:szCs w:val="24"/>
          <w:lang w:val="pl-PL"/>
        </w:rPr>
      </w:pPr>
      <w:r w:rsidRPr="00BE4401">
        <w:rPr>
          <w:rFonts w:cs="Arial"/>
          <w:szCs w:val="24"/>
          <w:u w:val="single"/>
          <w:lang w:val="pl-PL"/>
        </w:rPr>
        <w:t>Analiza potencijala biomase iz šumarstva</w:t>
      </w:r>
      <w:r w:rsidRPr="00BE4401">
        <w:rPr>
          <w:rFonts w:cs="Arial"/>
          <w:szCs w:val="24"/>
          <w:lang w:val="pl-PL"/>
        </w:rPr>
        <w:t xml:space="preserve"> izvršena je na bazi podataka nacionalne inventure šuma i obuhvatila je sledeće indikatore:</w:t>
      </w:r>
    </w:p>
    <w:p w:rsidR="00917616" w:rsidRPr="000345E1" w:rsidRDefault="00917616" w:rsidP="00E7415E">
      <w:pPr>
        <w:pStyle w:val="ListParagraph"/>
        <w:numPr>
          <w:ilvl w:val="0"/>
          <w:numId w:val="20"/>
        </w:numPr>
        <w:overflowPunct/>
        <w:autoSpaceDE/>
        <w:autoSpaceDN/>
        <w:adjustRightInd/>
        <w:spacing w:line="276" w:lineRule="auto"/>
        <w:contextualSpacing w:val="0"/>
        <w:textAlignment w:val="auto"/>
        <w:rPr>
          <w:rFonts w:cs="Arial"/>
          <w:szCs w:val="24"/>
        </w:rPr>
      </w:pPr>
      <w:r w:rsidRPr="000345E1">
        <w:rPr>
          <w:rFonts w:cs="Arial"/>
          <w:szCs w:val="24"/>
        </w:rPr>
        <w:t>Površine pod šumama</w:t>
      </w:r>
      <w:r>
        <w:rPr>
          <w:rFonts w:cs="Arial"/>
          <w:szCs w:val="24"/>
        </w:rPr>
        <w:t>,</w:t>
      </w:r>
    </w:p>
    <w:p w:rsidR="00917616" w:rsidRPr="000345E1" w:rsidRDefault="00917616" w:rsidP="00E7415E">
      <w:pPr>
        <w:pStyle w:val="ListParagraph"/>
        <w:numPr>
          <w:ilvl w:val="0"/>
          <w:numId w:val="20"/>
        </w:numPr>
        <w:overflowPunct/>
        <w:autoSpaceDE/>
        <w:autoSpaceDN/>
        <w:adjustRightInd/>
        <w:spacing w:line="276" w:lineRule="auto"/>
        <w:contextualSpacing w:val="0"/>
        <w:textAlignment w:val="auto"/>
        <w:rPr>
          <w:rFonts w:cs="Arial"/>
          <w:szCs w:val="24"/>
        </w:rPr>
      </w:pPr>
      <w:r w:rsidRPr="000345E1">
        <w:rPr>
          <w:rFonts w:cs="Arial"/>
          <w:szCs w:val="24"/>
        </w:rPr>
        <w:t>Procenat šumovitosti</w:t>
      </w:r>
      <w:r>
        <w:rPr>
          <w:rFonts w:cs="Arial"/>
          <w:szCs w:val="24"/>
        </w:rPr>
        <w:t>,</w:t>
      </w:r>
    </w:p>
    <w:p w:rsidR="00917616" w:rsidRPr="00BE4401" w:rsidRDefault="00917616" w:rsidP="00E7415E">
      <w:pPr>
        <w:pStyle w:val="ListParagraph"/>
        <w:numPr>
          <w:ilvl w:val="0"/>
          <w:numId w:val="20"/>
        </w:numPr>
        <w:overflowPunct/>
        <w:autoSpaceDE/>
        <w:autoSpaceDN/>
        <w:adjustRightInd/>
        <w:spacing w:line="276" w:lineRule="auto"/>
        <w:contextualSpacing w:val="0"/>
        <w:jc w:val="left"/>
        <w:textAlignment w:val="auto"/>
        <w:rPr>
          <w:rFonts w:cs="Arial"/>
          <w:szCs w:val="24"/>
          <w:lang w:val="pl-PL"/>
        </w:rPr>
      </w:pPr>
      <w:r w:rsidRPr="00BE4401">
        <w:rPr>
          <w:rFonts w:cs="Arial"/>
          <w:szCs w:val="24"/>
          <w:lang w:val="pl-PL"/>
        </w:rPr>
        <w:t>Drvnu zapreminu u dubećem stanju,</w:t>
      </w:r>
    </w:p>
    <w:p w:rsidR="00917616" w:rsidRPr="000345E1" w:rsidRDefault="00917616" w:rsidP="00E7415E">
      <w:pPr>
        <w:pStyle w:val="ListParagraph"/>
        <w:numPr>
          <w:ilvl w:val="0"/>
          <w:numId w:val="20"/>
        </w:numPr>
        <w:overflowPunct/>
        <w:autoSpaceDE/>
        <w:autoSpaceDN/>
        <w:adjustRightInd/>
        <w:spacing w:line="276" w:lineRule="auto"/>
        <w:contextualSpacing w:val="0"/>
        <w:jc w:val="left"/>
        <w:textAlignment w:val="auto"/>
        <w:rPr>
          <w:rFonts w:cs="Arial"/>
          <w:szCs w:val="24"/>
        </w:rPr>
      </w:pPr>
      <w:r w:rsidRPr="000345E1">
        <w:rPr>
          <w:rFonts w:cs="Arial"/>
          <w:szCs w:val="24"/>
        </w:rPr>
        <w:t>Godišnji zapreminski prirast</w:t>
      </w:r>
      <w:r>
        <w:rPr>
          <w:rFonts w:cs="Arial"/>
          <w:szCs w:val="24"/>
        </w:rPr>
        <w:t>,</w:t>
      </w:r>
    </w:p>
    <w:p w:rsidR="00917616" w:rsidRPr="000345E1" w:rsidRDefault="00917616" w:rsidP="00E7415E">
      <w:pPr>
        <w:pStyle w:val="ListParagraph"/>
        <w:numPr>
          <w:ilvl w:val="0"/>
          <w:numId w:val="20"/>
        </w:numPr>
        <w:overflowPunct/>
        <w:autoSpaceDE/>
        <w:autoSpaceDN/>
        <w:adjustRightInd/>
        <w:spacing w:line="276" w:lineRule="auto"/>
        <w:contextualSpacing w:val="0"/>
        <w:jc w:val="left"/>
        <w:textAlignment w:val="auto"/>
        <w:rPr>
          <w:rFonts w:cs="Arial"/>
          <w:szCs w:val="24"/>
        </w:rPr>
      </w:pPr>
      <w:r w:rsidRPr="000345E1">
        <w:rPr>
          <w:rFonts w:cs="Arial"/>
          <w:szCs w:val="24"/>
        </w:rPr>
        <w:t>Učešće šuma u državnom i privatnom vlasništvu u ukupnim površinama pod šumama</w:t>
      </w:r>
      <w:r>
        <w:rPr>
          <w:rFonts w:cs="Arial"/>
          <w:szCs w:val="24"/>
        </w:rPr>
        <w:t>,</w:t>
      </w:r>
    </w:p>
    <w:p w:rsidR="00917616" w:rsidRPr="000345E1" w:rsidRDefault="00917616" w:rsidP="00E7415E">
      <w:pPr>
        <w:pStyle w:val="ListParagraph"/>
        <w:numPr>
          <w:ilvl w:val="0"/>
          <w:numId w:val="20"/>
        </w:numPr>
        <w:overflowPunct/>
        <w:autoSpaceDE/>
        <w:autoSpaceDN/>
        <w:adjustRightInd/>
        <w:spacing w:line="276" w:lineRule="auto"/>
        <w:contextualSpacing w:val="0"/>
        <w:jc w:val="left"/>
        <w:textAlignment w:val="auto"/>
        <w:rPr>
          <w:rFonts w:cs="Arial"/>
          <w:szCs w:val="24"/>
        </w:rPr>
      </w:pPr>
      <w:r w:rsidRPr="000345E1">
        <w:rPr>
          <w:rFonts w:cs="Arial"/>
          <w:szCs w:val="24"/>
        </w:rPr>
        <w:t>Izračunavanje ukupnog tehničkog potencijala biomase u državnim i privatnim šumama</w:t>
      </w:r>
      <w:r>
        <w:rPr>
          <w:rFonts w:cs="Arial"/>
          <w:szCs w:val="24"/>
        </w:rPr>
        <w:t>,</w:t>
      </w:r>
    </w:p>
    <w:p w:rsidR="00917616" w:rsidRPr="000345E1" w:rsidRDefault="00917616" w:rsidP="00E7415E">
      <w:pPr>
        <w:pStyle w:val="ListParagraph"/>
        <w:numPr>
          <w:ilvl w:val="0"/>
          <w:numId w:val="20"/>
        </w:numPr>
        <w:overflowPunct/>
        <w:autoSpaceDE/>
        <w:autoSpaceDN/>
        <w:adjustRightInd/>
        <w:spacing w:line="276" w:lineRule="auto"/>
        <w:contextualSpacing w:val="0"/>
        <w:jc w:val="left"/>
        <w:textAlignment w:val="auto"/>
        <w:rPr>
          <w:rFonts w:cs="Arial"/>
          <w:szCs w:val="24"/>
        </w:rPr>
      </w:pPr>
      <w:r w:rsidRPr="000345E1">
        <w:rPr>
          <w:rFonts w:cs="Arial"/>
          <w:szCs w:val="24"/>
        </w:rPr>
        <w:t>Izračunavanje tehničkog potencijala biomase za energiju u državnim i privatnim šumama</w:t>
      </w:r>
      <w:r>
        <w:rPr>
          <w:rFonts w:cs="Arial"/>
          <w:szCs w:val="24"/>
        </w:rPr>
        <w:t>,</w:t>
      </w:r>
    </w:p>
    <w:p w:rsidR="00917616" w:rsidRPr="000345E1" w:rsidRDefault="00917616" w:rsidP="00E7415E">
      <w:pPr>
        <w:pStyle w:val="ListParagraph"/>
        <w:numPr>
          <w:ilvl w:val="0"/>
          <w:numId w:val="20"/>
        </w:numPr>
        <w:overflowPunct/>
        <w:autoSpaceDE/>
        <w:autoSpaceDN/>
        <w:adjustRightInd/>
        <w:spacing w:line="276" w:lineRule="auto"/>
        <w:contextualSpacing w:val="0"/>
        <w:jc w:val="left"/>
        <w:textAlignment w:val="auto"/>
        <w:rPr>
          <w:rFonts w:cs="Arial"/>
          <w:szCs w:val="24"/>
        </w:rPr>
      </w:pPr>
      <w:r w:rsidRPr="000345E1">
        <w:rPr>
          <w:rFonts w:cs="Arial"/>
          <w:szCs w:val="24"/>
        </w:rPr>
        <w:t>Proizvodnju drveta u 2017.</w:t>
      </w:r>
      <w:r>
        <w:rPr>
          <w:rFonts w:cs="Arial"/>
          <w:szCs w:val="24"/>
        </w:rPr>
        <w:t xml:space="preserve"> </w:t>
      </w:r>
      <w:r w:rsidRPr="000345E1">
        <w:rPr>
          <w:rFonts w:cs="Arial"/>
          <w:szCs w:val="24"/>
        </w:rPr>
        <w:t>godini.</w:t>
      </w:r>
    </w:p>
    <w:p w:rsidR="00917616" w:rsidRDefault="00917616" w:rsidP="00E7415E">
      <w:pPr>
        <w:spacing w:line="276" w:lineRule="auto"/>
        <w:rPr>
          <w:rFonts w:cs="Arial"/>
          <w:szCs w:val="24"/>
        </w:rPr>
      </w:pPr>
    </w:p>
    <w:p w:rsidR="00917616" w:rsidRPr="000345E1" w:rsidRDefault="00917616" w:rsidP="00E7415E">
      <w:pPr>
        <w:spacing w:line="276" w:lineRule="auto"/>
        <w:rPr>
          <w:rFonts w:cs="Arial"/>
          <w:szCs w:val="24"/>
        </w:rPr>
      </w:pPr>
      <w:r w:rsidRPr="000345E1">
        <w:rPr>
          <w:rFonts w:cs="Arial"/>
          <w:szCs w:val="24"/>
        </w:rPr>
        <w:t>Za potrebe izračunavanja navedenih indikatora, pored zvaničnih podataka iz nacionalne inventure šuma, korišćeni su i podaci iz odgovarajućih publikacija Republičkog zavoda za statistiku, interni podaci šumske uprave kao i podaci koji se prikupljaju i obrađuju u bazama podataka Šumarskog fakulteta u Beogradu.</w:t>
      </w:r>
    </w:p>
    <w:p w:rsidR="00917616" w:rsidRPr="000345E1" w:rsidRDefault="00917616" w:rsidP="00E7415E">
      <w:pPr>
        <w:spacing w:line="276" w:lineRule="auto"/>
        <w:rPr>
          <w:rFonts w:cs="Arial"/>
          <w:szCs w:val="24"/>
        </w:rPr>
      </w:pPr>
    </w:p>
    <w:p w:rsidR="00917616" w:rsidRPr="00BE4401" w:rsidRDefault="00917616" w:rsidP="00E7415E">
      <w:pPr>
        <w:spacing w:line="276" w:lineRule="auto"/>
        <w:rPr>
          <w:rFonts w:cs="Arial"/>
          <w:szCs w:val="24"/>
          <w:lang w:val="pl-PL"/>
        </w:rPr>
      </w:pPr>
      <w:r w:rsidRPr="00BE4401">
        <w:rPr>
          <w:rFonts w:cs="Arial"/>
          <w:szCs w:val="24"/>
          <w:u w:val="single"/>
          <w:lang w:val="pl-PL"/>
        </w:rPr>
        <w:t>Analiza ostalih potencijala drvne biomase</w:t>
      </w:r>
      <w:r w:rsidRPr="00BE4401">
        <w:rPr>
          <w:rFonts w:cs="Arial"/>
          <w:szCs w:val="24"/>
          <w:lang w:val="pl-PL"/>
        </w:rPr>
        <w:t xml:space="preserve"> obuhvatila je:</w:t>
      </w:r>
    </w:p>
    <w:p w:rsidR="00917616" w:rsidRPr="00BE4401" w:rsidRDefault="00917616" w:rsidP="00E7415E">
      <w:pPr>
        <w:pStyle w:val="ListParagraph"/>
        <w:numPr>
          <w:ilvl w:val="0"/>
          <w:numId w:val="19"/>
        </w:numPr>
        <w:overflowPunct/>
        <w:autoSpaceDE/>
        <w:autoSpaceDN/>
        <w:adjustRightInd/>
        <w:spacing w:line="276" w:lineRule="auto"/>
        <w:contextualSpacing w:val="0"/>
        <w:textAlignment w:val="auto"/>
        <w:rPr>
          <w:rFonts w:cs="Arial"/>
          <w:szCs w:val="24"/>
          <w:lang w:val="pl-PL"/>
        </w:rPr>
      </w:pPr>
      <w:r w:rsidRPr="00BE4401">
        <w:rPr>
          <w:rFonts w:cs="Arial"/>
          <w:szCs w:val="24"/>
          <w:lang w:val="pl-PL"/>
        </w:rPr>
        <w:t>Potencijale biomase za energiju na površinama obraslim drvećem koje se ne smatraju šumom,</w:t>
      </w:r>
    </w:p>
    <w:p w:rsidR="00917616" w:rsidRPr="00BE4401" w:rsidRDefault="00917616" w:rsidP="00E7415E">
      <w:pPr>
        <w:pStyle w:val="ListParagraph"/>
        <w:numPr>
          <w:ilvl w:val="0"/>
          <w:numId w:val="19"/>
        </w:numPr>
        <w:overflowPunct/>
        <w:autoSpaceDE/>
        <w:autoSpaceDN/>
        <w:adjustRightInd/>
        <w:spacing w:line="276" w:lineRule="auto"/>
        <w:contextualSpacing w:val="0"/>
        <w:textAlignment w:val="auto"/>
        <w:rPr>
          <w:rFonts w:cs="Arial"/>
          <w:szCs w:val="24"/>
          <w:lang w:val="pl-PL"/>
        </w:rPr>
      </w:pPr>
      <w:r w:rsidRPr="00BE4401">
        <w:rPr>
          <w:rFonts w:cs="Arial"/>
          <w:szCs w:val="24"/>
          <w:lang w:val="pl-PL"/>
        </w:rPr>
        <w:t>Količine drvnog ostatka koje nastaju kao rezultat seče u šumama,</w:t>
      </w:r>
    </w:p>
    <w:p w:rsidR="00917616" w:rsidRPr="00BE4401" w:rsidRDefault="00917616" w:rsidP="00E7415E">
      <w:pPr>
        <w:pStyle w:val="ListParagraph"/>
        <w:numPr>
          <w:ilvl w:val="0"/>
          <w:numId w:val="19"/>
        </w:numPr>
        <w:overflowPunct/>
        <w:autoSpaceDE/>
        <w:autoSpaceDN/>
        <w:adjustRightInd/>
        <w:spacing w:line="276" w:lineRule="auto"/>
        <w:contextualSpacing w:val="0"/>
        <w:textAlignment w:val="auto"/>
        <w:rPr>
          <w:rFonts w:cs="Arial"/>
          <w:szCs w:val="24"/>
          <w:lang w:val="pl-PL"/>
        </w:rPr>
      </w:pPr>
      <w:r w:rsidRPr="00BE4401">
        <w:rPr>
          <w:rFonts w:cs="Arial"/>
          <w:szCs w:val="24"/>
          <w:lang w:val="pl-PL"/>
        </w:rPr>
        <w:t>Količine drvnog ostatka koji nastaje u procesima industrijske prerade drveta</w:t>
      </w:r>
    </w:p>
    <w:p w:rsidR="00917616" w:rsidRPr="000345E1" w:rsidRDefault="00917616" w:rsidP="00E7415E">
      <w:pPr>
        <w:pStyle w:val="ListParagraph"/>
        <w:numPr>
          <w:ilvl w:val="0"/>
          <w:numId w:val="19"/>
        </w:numPr>
        <w:overflowPunct/>
        <w:autoSpaceDE/>
        <w:autoSpaceDN/>
        <w:adjustRightInd/>
        <w:spacing w:line="276" w:lineRule="auto"/>
        <w:contextualSpacing w:val="0"/>
        <w:textAlignment w:val="auto"/>
        <w:rPr>
          <w:rFonts w:cs="Arial"/>
          <w:szCs w:val="24"/>
        </w:rPr>
      </w:pPr>
      <w:r w:rsidRPr="000345E1">
        <w:rPr>
          <w:rFonts w:cs="Arial"/>
          <w:szCs w:val="24"/>
        </w:rPr>
        <w:t>Količine drvne biomase koja se koristi u formi recikliranog drveta (stari nameštaj, palete, drugo)</w:t>
      </w:r>
    </w:p>
    <w:p w:rsidR="00917616" w:rsidRPr="000345E1" w:rsidRDefault="00917616" w:rsidP="00E7415E">
      <w:pPr>
        <w:spacing w:line="276" w:lineRule="auto"/>
        <w:rPr>
          <w:rFonts w:cs="Arial"/>
          <w:szCs w:val="24"/>
        </w:rPr>
      </w:pPr>
      <w:r w:rsidRPr="000345E1">
        <w:rPr>
          <w:rFonts w:cs="Arial"/>
          <w:szCs w:val="24"/>
        </w:rPr>
        <w:t xml:space="preserve">U okviru navedenog metodološkog segmenta korišćeni su principi, terminologija i sistem obračunavanja i kalkulacija koji se koristi u metodologiji UNECE/FAO i Statističkog zavoda Srbije.  </w:t>
      </w:r>
    </w:p>
    <w:p w:rsidR="00917616" w:rsidRPr="000345E1" w:rsidRDefault="00917616" w:rsidP="00E7415E">
      <w:pPr>
        <w:spacing w:line="276" w:lineRule="auto"/>
        <w:rPr>
          <w:rFonts w:cs="Arial"/>
          <w:szCs w:val="24"/>
        </w:rPr>
      </w:pPr>
    </w:p>
    <w:p w:rsidR="00917616" w:rsidRPr="000345E1" w:rsidRDefault="00917616" w:rsidP="00E7415E">
      <w:pPr>
        <w:spacing w:line="276" w:lineRule="auto"/>
        <w:rPr>
          <w:rFonts w:cs="Arial"/>
          <w:szCs w:val="24"/>
          <w:u w:val="single"/>
        </w:rPr>
      </w:pPr>
      <w:r w:rsidRPr="000345E1">
        <w:rPr>
          <w:rFonts w:cs="Arial"/>
          <w:szCs w:val="24"/>
          <w:u w:val="single"/>
        </w:rPr>
        <w:t>Analiza poljoprivredne biomase</w:t>
      </w:r>
    </w:p>
    <w:p w:rsidR="00917616" w:rsidRPr="000345E1" w:rsidRDefault="00917616" w:rsidP="00E7415E">
      <w:pPr>
        <w:spacing w:line="276" w:lineRule="auto"/>
        <w:rPr>
          <w:rFonts w:cs="Arial"/>
          <w:szCs w:val="24"/>
        </w:rPr>
      </w:pPr>
      <w:r w:rsidRPr="000345E1">
        <w:rPr>
          <w:rFonts w:cs="Arial"/>
          <w:szCs w:val="24"/>
        </w:rPr>
        <w:t>Poljoprivreda, kao privredna grana usmerena je na proizvodnju i doradu poljoprivrednih proizvoda sa krajnjim ciljem pribavljanja organskih proizvoda za čoveka (najčešće prehrambenih). U procesima primarne poljoprivredne proizvodnje ili dorađivačkih procesa pored glavnih (osnovnih) proizvoda dobijaju se i nusproizvodi, koji predstavljaju sekun</w:t>
      </w:r>
      <w:r>
        <w:rPr>
          <w:rFonts w:cs="Arial"/>
          <w:szCs w:val="24"/>
        </w:rPr>
        <w:t>d</w:t>
      </w:r>
      <w:r w:rsidRPr="000345E1">
        <w:rPr>
          <w:rFonts w:cs="Arial"/>
          <w:szCs w:val="24"/>
        </w:rPr>
        <w:t>arne ili tercija</w:t>
      </w:r>
      <w:r>
        <w:rPr>
          <w:rFonts w:cs="Arial"/>
          <w:szCs w:val="24"/>
        </w:rPr>
        <w:t>r</w:t>
      </w:r>
      <w:r w:rsidRPr="000345E1">
        <w:rPr>
          <w:rFonts w:cs="Arial"/>
          <w:szCs w:val="24"/>
        </w:rPr>
        <w:t>ne proizvode poljoprivredne proizvodnje. Takvi proizvodi se često nazivaju ostaci ili čak otpaci. Po ostvarenom kvantitetu, ostaci poljoprivredne proizvodnje uglavnom prevazilaze količine, tj. mase osnovnih proizvoda. Širok je način korišćenja tih ostataka. Ostaci primarne poljoprivredne proizvodnje se najčešće koriste kao:</w:t>
      </w:r>
    </w:p>
    <w:p w:rsidR="00917616" w:rsidRPr="000345E1" w:rsidRDefault="00917616" w:rsidP="00E7415E">
      <w:pPr>
        <w:numPr>
          <w:ilvl w:val="0"/>
          <w:numId w:val="22"/>
        </w:numPr>
        <w:spacing w:line="276" w:lineRule="auto"/>
        <w:rPr>
          <w:rFonts w:cs="Arial"/>
          <w:szCs w:val="24"/>
        </w:rPr>
      </w:pPr>
      <w:r w:rsidRPr="000345E1">
        <w:rPr>
          <w:rFonts w:cs="Arial"/>
          <w:szCs w:val="24"/>
        </w:rPr>
        <w:t>činioci očuvanja proizvodnih resursa (zemljišta) i eko sistema,</w:t>
      </w:r>
    </w:p>
    <w:p w:rsidR="00917616" w:rsidRPr="000345E1" w:rsidRDefault="00917616" w:rsidP="00E7415E">
      <w:pPr>
        <w:numPr>
          <w:ilvl w:val="0"/>
          <w:numId w:val="22"/>
        </w:numPr>
        <w:spacing w:line="276" w:lineRule="auto"/>
        <w:rPr>
          <w:rFonts w:cs="Arial"/>
          <w:szCs w:val="24"/>
        </w:rPr>
      </w:pPr>
      <w:r w:rsidRPr="000345E1">
        <w:rPr>
          <w:rFonts w:cs="Arial"/>
          <w:szCs w:val="24"/>
        </w:rPr>
        <w:t xml:space="preserve">inputi u formiranju višeg stepena proizvodnje (stočarstva, nakon ratarstva), </w:t>
      </w:r>
    </w:p>
    <w:p w:rsidR="00917616" w:rsidRPr="000345E1" w:rsidRDefault="00917616" w:rsidP="00E7415E">
      <w:pPr>
        <w:numPr>
          <w:ilvl w:val="0"/>
          <w:numId w:val="22"/>
        </w:numPr>
        <w:spacing w:line="276" w:lineRule="auto"/>
        <w:rPr>
          <w:rFonts w:cs="Arial"/>
          <w:szCs w:val="24"/>
        </w:rPr>
      </w:pPr>
      <w:r w:rsidRPr="000345E1">
        <w:rPr>
          <w:rFonts w:cs="Arial"/>
          <w:szCs w:val="24"/>
        </w:rPr>
        <w:t xml:space="preserve">materijali u zaokruživanju tehnologije proizvodnih ciklusa, </w:t>
      </w:r>
    </w:p>
    <w:p w:rsidR="00917616" w:rsidRPr="000345E1" w:rsidRDefault="00917616" w:rsidP="00E7415E">
      <w:pPr>
        <w:numPr>
          <w:ilvl w:val="0"/>
          <w:numId w:val="22"/>
        </w:numPr>
        <w:spacing w:line="276" w:lineRule="auto"/>
        <w:rPr>
          <w:rFonts w:cs="Arial"/>
          <w:szCs w:val="24"/>
        </w:rPr>
      </w:pPr>
      <w:r w:rsidRPr="000345E1">
        <w:rPr>
          <w:rFonts w:cs="Arial"/>
          <w:szCs w:val="24"/>
        </w:rPr>
        <w:t xml:space="preserve">materijali u industrijskoj proizvodnji, </w:t>
      </w:r>
    </w:p>
    <w:p w:rsidR="00917616" w:rsidRPr="000345E1" w:rsidRDefault="00917616" w:rsidP="00E7415E">
      <w:pPr>
        <w:numPr>
          <w:ilvl w:val="0"/>
          <w:numId w:val="22"/>
        </w:numPr>
        <w:spacing w:line="276" w:lineRule="auto"/>
        <w:rPr>
          <w:rFonts w:cs="Arial"/>
          <w:szCs w:val="24"/>
        </w:rPr>
      </w:pPr>
      <w:r w:rsidRPr="000345E1">
        <w:rPr>
          <w:rFonts w:cs="Arial"/>
          <w:szCs w:val="24"/>
        </w:rPr>
        <w:t>energenti.</w:t>
      </w:r>
    </w:p>
    <w:p w:rsidR="00917616" w:rsidRPr="000345E1" w:rsidRDefault="00917616" w:rsidP="00E7415E">
      <w:pPr>
        <w:spacing w:line="276" w:lineRule="auto"/>
        <w:rPr>
          <w:rFonts w:cs="Arial"/>
          <w:szCs w:val="24"/>
        </w:rPr>
      </w:pPr>
      <w:r w:rsidRPr="000345E1">
        <w:rPr>
          <w:rFonts w:cs="Arial"/>
          <w:szCs w:val="24"/>
        </w:rPr>
        <w:t>Na osnovu sagledavanja velikog broja istraživanja može se konstatovati da se bez posledica za dalju plodnost zemljišta (potencijalno smanjenje humusa u zemljištu, erozije vetrom i vodom i dr.) u proseku sa parcela može prikuplljati 30% raspoložive biomase, što bi značilo da se sa parcela svake četvrte godine može odnositi celokupna biomasa.</w:t>
      </w:r>
    </w:p>
    <w:p w:rsidR="00917616" w:rsidRPr="000345E1" w:rsidRDefault="00917616" w:rsidP="00E7415E">
      <w:pPr>
        <w:spacing w:line="276" w:lineRule="auto"/>
        <w:rPr>
          <w:rFonts w:cs="Arial"/>
          <w:szCs w:val="24"/>
        </w:rPr>
      </w:pPr>
      <w:r w:rsidRPr="000345E1">
        <w:rPr>
          <w:rFonts w:cs="Arial"/>
          <w:szCs w:val="24"/>
        </w:rPr>
        <w:t>Prema statističkim pokazateljima Republike Srbije u pogledu četiri opservirana regiona (AP Vojvodina, područje Beograda, Šumadija i zapadna Srbija i južna i istočna Srbija) najpovoljniji uslovi za obavljanje biljne poljoprivredne proizvodnje se nalaze na teritoriji AP Vojvodine, zatim u Beogradskom regionu, zatim u regionu Šumadije i zapadne Srbije, dok u regionu južne i istočne Srbije u pogledu biljne poljoprivredne proizvodnje vladaju najnepovoljniji uslovi. Navedeno se u potpunosti odraža</w:t>
      </w:r>
      <w:r>
        <w:rPr>
          <w:rFonts w:cs="Arial"/>
          <w:szCs w:val="24"/>
        </w:rPr>
        <w:t xml:space="preserve"> i</w:t>
      </w:r>
      <w:r w:rsidRPr="000345E1">
        <w:rPr>
          <w:rFonts w:cs="Arial"/>
          <w:szCs w:val="24"/>
        </w:rPr>
        <w:t xml:space="preserve"> na ostvarene prosečne prinose osnovnih kultura, a samim tim i njihovih biljnih ostataka. Za potrebe izrade bilansa izračunati su prosečni prinosi za desetogodišnji period 2008-2017</w:t>
      </w:r>
      <w:r>
        <w:rPr>
          <w:rFonts w:cs="Arial"/>
          <w:szCs w:val="24"/>
        </w:rPr>
        <w:t>.</w:t>
      </w:r>
      <w:r w:rsidRPr="000345E1">
        <w:rPr>
          <w:rFonts w:cs="Arial"/>
          <w:szCs w:val="24"/>
        </w:rPr>
        <w:t xml:space="preserve"> za svaki region (izvor podataka</w:t>
      </w:r>
      <w:r>
        <w:rPr>
          <w:rFonts w:cs="Arial"/>
          <w:szCs w:val="24"/>
        </w:rPr>
        <w:t>:</w:t>
      </w:r>
      <w:r w:rsidRPr="000345E1">
        <w:rPr>
          <w:rFonts w:cs="Arial"/>
          <w:szCs w:val="24"/>
        </w:rPr>
        <w:t xml:space="preserve"> Republički Zavod za statistiku). </w:t>
      </w:r>
    </w:p>
    <w:p w:rsidR="00917616" w:rsidRPr="000345E1" w:rsidRDefault="00917616" w:rsidP="00E7415E">
      <w:pPr>
        <w:spacing w:line="276" w:lineRule="auto"/>
        <w:rPr>
          <w:rFonts w:cs="Arial"/>
          <w:szCs w:val="24"/>
        </w:rPr>
      </w:pPr>
      <w:r w:rsidRPr="000345E1">
        <w:rPr>
          <w:rFonts w:cs="Arial"/>
          <w:szCs w:val="24"/>
        </w:rPr>
        <w:t>Ostaci poljoprivredne proizvodnje koji su namenjeni za korišćenje u cilju produkovanja energije (kao goriva) nazivaju se biomasom ili biogorivom. Biogoriva nastala u poljoprivredi mogu biti u sva tri agregatna stanja od kojih se u Srbiji iz poljoprivredne proizvodnje najčešće koriste:</w:t>
      </w:r>
    </w:p>
    <w:p w:rsidR="00917616" w:rsidRPr="000345E1" w:rsidRDefault="00917616" w:rsidP="00E7415E">
      <w:pPr>
        <w:numPr>
          <w:ilvl w:val="0"/>
          <w:numId w:val="22"/>
        </w:numPr>
        <w:spacing w:line="276" w:lineRule="auto"/>
        <w:rPr>
          <w:rFonts w:cs="Arial"/>
          <w:szCs w:val="24"/>
        </w:rPr>
      </w:pPr>
      <w:r w:rsidRPr="000345E1">
        <w:rPr>
          <w:rFonts w:cs="Arial"/>
          <w:szCs w:val="24"/>
          <w:u w:val="single"/>
        </w:rPr>
        <w:t>Čvrsta biogoriva</w:t>
      </w:r>
      <w:r w:rsidRPr="000345E1">
        <w:rPr>
          <w:rFonts w:cs="Arial"/>
          <w:szCs w:val="24"/>
        </w:rPr>
        <w:t xml:space="preserve">: slama od žitarica i uljarica, kukuruzovina, oklasak (kočanka), glave i stabljike suncokreta, ljuske od semena suncokreta i soje, stabljike sirka, pasulja, ricinusa, lana, hmelja i duvana ostaci od stabljike konoplje (pozder), stabljike semenske šećerne repe, otpaci od zrna žitarica i uljarica nastali u postupku čišćenja zrna, koštice i ljuske voća, grane od orezanih stabala voća i vinove loze, i dr. </w:t>
      </w:r>
    </w:p>
    <w:p w:rsidR="00917616" w:rsidRPr="000345E1" w:rsidRDefault="00917616" w:rsidP="00E7415E">
      <w:pPr>
        <w:numPr>
          <w:ilvl w:val="0"/>
          <w:numId w:val="22"/>
        </w:numPr>
        <w:spacing w:line="276" w:lineRule="auto"/>
        <w:rPr>
          <w:rFonts w:cs="Arial"/>
          <w:szCs w:val="24"/>
        </w:rPr>
      </w:pPr>
      <w:r w:rsidRPr="000345E1">
        <w:rPr>
          <w:rFonts w:cs="Arial"/>
          <w:szCs w:val="24"/>
          <w:u w:val="single"/>
        </w:rPr>
        <w:t>Tečna biogoriva</w:t>
      </w:r>
      <w:r w:rsidRPr="000345E1">
        <w:rPr>
          <w:rFonts w:cs="Arial"/>
          <w:szCs w:val="24"/>
        </w:rPr>
        <w:t xml:space="preserve">: sirovo deguminizirano ulje od uljane repice (soje ili eventualno suncokreta), metil-estar ulja od uljane repice (biodizel gorivo), mešavina benzina i alkohola (metil ili etil alkohol) i specijalna vrsta biogoriva dobijena iz alkohola (metanol ili etanol), </w:t>
      </w:r>
    </w:p>
    <w:p w:rsidR="00917616" w:rsidRPr="000345E1" w:rsidRDefault="00917616" w:rsidP="00E7415E">
      <w:pPr>
        <w:numPr>
          <w:ilvl w:val="0"/>
          <w:numId w:val="22"/>
        </w:numPr>
        <w:spacing w:line="276" w:lineRule="auto"/>
        <w:rPr>
          <w:rFonts w:cs="Arial"/>
          <w:szCs w:val="24"/>
        </w:rPr>
      </w:pPr>
      <w:r w:rsidRPr="000345E1">
        <w:rPr>
          <w:rFonts w:cs="Arial"/>
          <w:szCs w:val="24"/>
          <w:u w:val="single"/>
        </w:rPr>
        <w:t>Gasovita biogoriva</w:t>
      </w:r>
      <w:r w:rsidRPr="000345E1">
        <w:rPr>
          <w:rFonts w:cs="Arial"/>
          <w:szCs w:val="24"/>
        </w:rPr>
        <w:t xml:space="preserve">: biogas dobijen anaerobnom fermentacijom biomase (otpadne organske materije većeg sadržaja vlažnosti) i biogas dobijen nepotpunim sagorevanjem biomase (čvrstog biogoriva), tj. gasifikacijom. </w:t>
      </w:r>
    </w:p>
    <w:p w:rsidR="00917616" w:rsidRPr="000345E1" w:rsidRDefault="00917616" w:rsidP="00E7415E">
      <w:pPr>
        <w:spacing w:line="276" w:lineRule="auto"/>
        <w:rPr>
          <w:rFonts w:cs="Arial"/>
          <w:szCs w:val="24"/>
        </w:rPr>
      </w:pPr>
      <w:r w:rsidRPr="000345E1">
        <w:rPr>
          <w:rFonts w:cs="Arial"/>
          <w:szCs w:val="24"/>
        </w:rPr>
        <w:t>Energetska transformacija hemijske energije iz čvrstih i tečnih biogoriva se najčešće realizuje u jednoj fazi, tehnologijama direktnog sagorevanja, dok je za korišćenje gasovitih biogoriva potrebno bar dve faze od kojih je prva vezana za tehnologije nastajanja gasovitog biogoriva, a u drugoj se tehnologijama sagorevanja iz gasovitih biogoriva produkuje energija. Direktno sagorevanje je sa ekonomske strane isplatljivija tehnologija, ali se njen veliki nedostatak ogleda u tome što nije pogodna kod biogoriva sa visokim sadržajem vlažnosti. Da bi se nedostatak visokog sadržaja vlage kod biogoriva prevazišao koriste se tehnologije fermentacije, tj. vrenja, kod kojih je produkt biogas, koji se u sledećoj fazi direktno sagoreva.</w:t>
      </w:r>
    </w:p>
    <w:p w:rsidR="00917616" w:rsidRPr="000345E1" w:rsidRDefault="00917616" w:rsidP="00E7415E">
      <w:pPr>
        <w:spacing w:line="276" w:lineRule="auto"/>
        <w:rPr>
          <w:rFonts w:cs="Arial"/>
          <w:szCs w:val="24"/>
        </w:rPr>
      </w:pPr>
      <w:r w:rsidRPr="000345E1">
        <w:rPr>
          <w:rFonts w:cs="Arial"/>
          <w:szCs w:val="24"/>
        </w:rPr>
        <w:t>Zbog navedenog veoma je interesantno da se pri sagledavanju energetskih potencijala, ostaci poljoprivredne proizvodnje u opštinama razdvoje prema tehnologijama njihove energetske valorizacije. Kao što je navedeno, očekivani sadržaj vlažnosti biljnih ostataka u periodu njihovog korišćenja će usmeravati na koji način će se vršiti energetska valorizacija ostataka proizvodnje i u skladu sa tim prilikom izrade bilansa posebno su procenjivani potencijali biomase pogodne za direktno sagorevanje i za primenu u tečnom stanju.</w:t>
      </w:r>
    </w:p>
    <w:p w:rsidR="00917616" w:rsidRPr="00BE4401" w:rsidRDefault="00917616" w:rsidP="00E7415E">
      <w:pPr>
        <w:spacing w:line="276" w:lineRule="auto"/>
        <w:rPr>
          <w:rFonts w:cs="Arial"/>
          <w:szCs w:val="24"/>
          <w:lang w:val="pl-PL"/>
        </w:rPr>
      </w:pPr>
      <w:r w:rsidRPr="000345E1">
        <w:rPr>
          <w:rFonts w:cs="Arial"/>
          <w:szCs w:val="24"/>
        </w:rPr>
        <w:t xml:space="preserve">Sadržaj vlažnosti u biljnim ostacima poljoprivredne proizvodnje ima veliki uticaj na mogućnost njihove energetske valorizacije zbog čega je neophodno što više raditi na tome da takav - veoma higroskopan materijal što manje bude u kontaktu sa vlagom. </w:t>
      </w:r>
      <w:r w:rsidRPr="00BE4401">
        <w:rPr>
          <w:rFonts w:cs="Arial"/>
          <w:szCs w:val="24"/>
          <w:lang w:val="pl-PL"/>
        </w:rPr>
        <w:t xml:space="preserve">Problematika se po tom pitanju usložnjava od samog nastanka biljnih ostataka (od perioda obavlljanja žetve). Činjenica je da su ostaci biomase u vremenu njihovog nastajanja veoma disperzovani i zbog velike higroskopnosti podložni su brzom upijanju vlage iz okoline (kiša, rosa, vlažno zemljište i dr.). Ovo je posebno važno za kukuruz jer je korišćenje biomase iz proizvodnje kukuruza veoma često onemogućen zbog velike vlažnosti.  </w:t>
      </w:r>
    </w:p>
    <w:p w:rsidR="00917616" w:rsidRPr="00BE4401" w:rsidRDefault="00917616" w:rsidP="00E7415E">
      <w:pPr>
        <w:spacing w:line="276" w:lineRule="auto"/>
        <w:rPr>
          <w:rFonts w:cs="Arial"/>
          <w:szCs w:val="24"/>
          <w:lang w:val="pl-PL"/>
        </w:rPr>
      </w:pPr>
      <w:r w:rsidRPr="00BE4401">
        <w:rPr>
          <w:rFonts w:cs="Arial"/>
          <w:szCs w:val="24"/>
          <w:lang w:val="pl-PL"/>
        </w:rPr>
        <w:t>I pored značajne količine biljnih ostataka raznih poljoprivrednih kultura u Srbiji se u svrhu produkcije energije uglavnom koriste samo neki od njih. Izbor ostataka koji se koriste u energetske svrhe zavisi od više faktora i to:</w:t>
      </w:r>
    </w:p>
    <w:p w:rsidR="00917616" w:rsidRPr="00BE4401" w:rsidRDefault="00917616" w:rsidP="00E7415E">
      <w:pPr>
        <w:numPr>
          <w:ilvl w:val="0"/>
          <w:numId w:val="22"/>
        </w:numPr>
        <w:spacing w:line="276" w:lineRule="auto"/>
        <w:rPr>
          <w:rFonts w:cs="Arial"/>
          <w:szCs w:val="24"/>
          <w:lang w:val="pl-PL"/>
        </w:rPr>
      </w:pPr>
      <w:r w:rsidRPr="00BE4401">
        <w:rPr>
          <w:rFonts w:cs="Arial"/>
          <w:szCs w:val="24"/>
          <w:lang w:val="pl-PL"/>
        </w:rPr>
        <w:t>od blizine i mogućnosti prikupljanja i transporta gajenih biljnih kultura (transport biomase na duže relacije nije isplativ),</w:t>
      </w:r>
    </w:p>
    <w:p w:rsidR="00917616" w:rsidRPr="00BE4401" w:rsidRDefault="00917616" w:rsidP="00E7415E">
      <w:pPr>
        <w:numPr>
          <w:ilvl w:val="0"/>
          <w:numId w:val="22"/>
        </w:numPr>
        <w:spacing w:line="276" w:lineRule="auto"/>
        <w:rPr>
          <w:rFonts w:cs="Arial"/>
          <w:szCs w:val="24"/>
          <w:lang w:val="pl-PL"/>
        </w:rPr>
      </w:pPr>
      <w:r w:rsidRPr="00BE4401">
        <w:rPr>
          <w:rFonts w:cs="Arial"/>
          <w:szCs w:val="24"/>
          <w:lang w:val="pl-PL"/>
        </w:rPr>
        <w:t>od vremena i mesta prispeća (više se koriste ostaci koji se prikupljaju leti ili dok traje lepše vreme (imaju niži sadržaj vlažnosti) ili nastaju na uskom području (tokom doradnih procesa),</w:t>
      </w:r>
    </w:p>
    <w:p w:rsidR="00917616" w:rsidRPr="00BE4401" w:rsidRDefault="00917616" w:rsidP="00E7415E">
      <w:pPr>
        <w:numPr>
          <w:ilvl w:val="0"/>
          <w:numId w:val="22"/>
        </w:numPr>
        <w:spacing w:line="276" w:lineRule="auto"/>
        <w:rPr>
          <w:rFonts w:cs="Arial"/>
          <w:szCs w:val="24"/>
          <w:lang w:val="pl-PL"/>
        </w:rPr>
      </w:pPr>
      <w:r w:rsidRPr="00BE4401">
        <w:rPr>
          <w:rFonts w:cs="Arial"/>
          <w:szCs w:val="24"/>
          <w:lang w:val="pl-PL"/>
        </w:rPr>
        <w:t>od elementarnog sastava biomase (s čim je u vezi i toplotna moć biomase, a i sadržaj vlažnosti),</w:t>
      </w:r>
    </w:p>
    <w:p w:rsidR="00917616" w:rsidRPr="00BE4401" w:rsidRDefault="00917616" w:rsidP="00E7415E">
      <w:pPr>
        <w:numPr>
          <w:ilvl w:val="0"/>
          <w:numId w:val="22"/>
        </w:numPr>
        <w:spacing w:line="276" w:lineRule="auto"/>
        <w:rPr>
          <w:rFonts w:cs="Arial"/>
          <w:szCs w:val="24"/>
          <w:lang w:val="pl-PL"/>
        </w:rPr>
      </w:pPr>
      <w:r w:rsidRPr="00BE4401">
        <w:rPr>
          <w:rFonts w:cs="Arial"/>
          <w:szCs w:val="24"/>
          <w:lang w:val="pl-PL"/>
        </w:rPr>
        <w:t>od tehničkih pokazatelja, kao što su sadržaj gorljivih isparljivih materija, tačke paljenja, topljivosti i abrazivnosti pepela i dr.,</w:t>
      </w:r>
    </w:p>
    <w:p w:rsidR="00917616" w:rsidRPr="00BE4401" w:rsidRDefault="00917616" w:rsidP="00E7415E">
      <w:pPr>
        <w:numPr>
          <w:ilvl w:val="0"/>
          <w:numId w:val="22"/>
        </w:numPr>
        <w:spacing w:line="276" w:lineRule="auto"/>
        <w:rPr>
          <w:rFonts w:cs="Arial"/>
          <w:szCs w:val="24"/>
          <w:lang w:val="pl-PL"/>
        </w:rPr>
      </w:pPr>
      <w:r w:rsidRPr="00BE4401">
        <w:rPr>
          <w:rFonts w:cs="Arial"/>
          <w:szCs w:val="24"/>
          <w:lang w:val="pl-PL"/>
        </w:rPr>
        <w:t>mogućnosti dugotrajnijeg skladištenja (gde su problemi higroskopnost i gustina biomase),</w:t>
      </w:r>
    </w:p>
    <w:p w:rsidR="00917616" w:rsidRPr="00BE4401" w:rsidRDefault="00917616" w:rsidP="00E7415E">
      <w:pPr>
        <w:numPr>
          <w:ilvl w:val="0"/>
          <w:numId w:val="22"/>
        </w:numPr>
        <w:spacing w:line="276" w:lineRule="auto"/>
        <w:rPr>
          <w:rFonts w:cs="Arial"/>
          <w:szCs w:val="24"/>
          <w:lang w:val="pl-PL"/>
        </w:rPr>
      </w:pPr>
      <w:r w:rsidRPr="00BE4401">
        <w:rPr>
          <w:rFonts w:cs="Arial"/>
          <w:szCs w:val="24"/>
          <w:lang w:val="pl-PL"/>
        </w:rPr>
        <w:t>tehničkih i personalnih zahteva opreme za sagorevanje (cenu opreme, njihovu funkcionalnost i efikasnost u radu, učestalost i složenost njihovog opsluživanja),</w:t>
      </w:r>
    </w:p>
    <w:p w:rsidR="00917616" w:rsidRPr="000345E1" w:rsidRDefault="00917616" w:rsidP="00E7415E">
      <w:pPr>
        <w:numPr>
          <w:ilvl w:val="0"/>
          <w:numId w:val="22"/>
        </w:numPr>
        <w:spacing w:line="276" w:lineRule="auto"/>
        <w:rPr>
          <w:rFonts w:cs="Arial"/>
          <w:szCs w:val="24"/>
        </w:rPr>
      </w:pPr>
      <w:r w:rsidRPr="000345E1">
        <w:rPr>
          <w:rFonts w:cs="Arial"/>
          <w:szCs w:val="24"/>
        </w:rPr>
        <w:t>od tržišnih uslova (dostupnosti i cene) i dr.</w:t>
      </w:r>
    </w:p>
    <w:p w:rsidR="00917616" w:rsidRPr="000345E1" w:rsidRDefault="00917616" w:rsidP="00E7415E">
      <w:pPr>
        <w:spacing w:line="276" w:lineRule="auto"/>
        <w:rPr>
          <w:rFonts w:cs="Arial"/>
          <w:szCs w:val="24"/>
        </w:rPr>
      </w:pPr>
      <w:r w:rsidRPr="000345E1">
        <w:rPr>
          <w:rFonts w:cs="Arial"/>
          <w:szCs w:val="24"/>
        </w:rPr>
        <w:t>Zbog navedenog sa pravom se može konstatovati da se u Srbiji, kao biogorivo od biljnih ostataka čvrste biomase u poljoprivredi u domaćinstvima i termičkim postrojenjima manjih termičkih snaga (&lt;1 MW) najviše koriste: sojina i pšenična slama, oklasak kukuruza, a u industrijskim postrojenjima otpad u preradi poljoprivrednih proizvoda, kao što su ljuske suncokreta i soje i oklasak kukuruza, kao i sojina i pšenična slama i donekle kukuruzovina. U domaćinstvima i kod termičkih postrojenja manjih snaga sojina i pšenična slama se koriste u formi malih i velikih bala, a oklasak se loži neusitnjen. U poslednje vreme se ostaci biomase sve više koriste i u formi agropeleta, ali se takav trend nije znatnije raširio zbog složenosti pri njegovom sagorevanju i veće cene biogoriva i postrojenja za njegovo sagorevanje. U većim industrijskim kapacitetima se uglavnom sagoreva usitnjena forma biomase.</w:t>
      </w:r>
    </w:p>
    <w:p w:rsidR="00917616" w:rsidRPr="000345E1" w:rsidRDefault="00917616" w:rsidP="00E7415E">
      <w:pPr>
        <w:spacing w:line="276" w:lineRule="auto"/>
        <w:rPr>
          <w:rFonts w:cs="Arial"/>
          <w:szCs w:val="24"/>
        </w:rPr>
      </w:pPr>
      <w:r w:rsidRPr="000345E1">
        <w:rPr>
          <w:rFonts w:cs="Arial"/>
          <w:szCs w:val="24"/>
        </w:rPr>
        <w:t>Pored ostataka iz biljne poljoprivredne proizvodnje velike količine ostataka proizvodnje koji se mogu koristiti za produkciju energije se ostvaruju i u stočarskoj proizvodnji. Pre svega se tu podrazumeva stajnjak, koji može biti tečni ili čvrsti (sa dodatkom prostirke - najčešće pšenične slame). Ako se koristi u proizvodnji biogoriva stajnjak je zbog velikog sadržaja vlage najčešće usmeren ka dobijanju biogasa u procesima fermentacije. U poslednje vreme su prezentovane tehnologije energetskog korišćenja stajnjaka u kojima se stajnjak su</w:t>
      </w:r>
      <w:r>
        <w:rPr>
          <w:rFonts w:cs="Arial"/>
          <w:szCs w:val="24"/>
        </w:rPr>
        <w:t>š</w:t>
      </w:r>
      <w:r w:rsidRPr="000345E1">
        <w:rPr>
          <w:rFonts w:cs="Arial"/>
          <w:szCs w:val="24"/>
        </w:rPr>
        <w:t>i i kao takav se sagoreva, ali one u Srbiji nisu našle na signifikantnu primenu.</w:t>
      </w:r>
    </w:p>
    <w:p w:rsidR="00917616" w:rsidRPr="000345E1" w:rsidRDefault="00917616" w:rsidP="00E7415E">
      <w:pPr>
        <w:spacing w:line="276" w:lineRule="auto"/>
        <w:rPr>
          <w:rFonts w:cs="Arial"/>
          <w:szCs w:val="24"/>
        </w:rPr>
      </w:pPr>
      <w:r w:rsidRPr="000345E1">
        <w:rPr>
          <w:rFonts w:cs="Arial"/>
          <w:szCs w:val="24"/>
        </w:rPr>
        <w:t>Problemi koji se javljaju u težnji za što većim korišćenjem stajnjaka u energetske svrhe najviše se odnose na mogućnost i isplativost njegovog prikupljanja. Veliki broj stoke se gaji na manjim gazdinstvima (što je pogotovo izraženo u brdsko-planinskim regionima) i to u slobodnom sistemu držanja. Iz tog razloga prikazane potencijale biomase iz stajnjaka koji bi bio korišćen u svrhu produkcije energije treba uslovno posmatrati i očekivati da se njihova ekonomski isplativa energetska valorizacija može realizovati samo u okruženju sa farmama na kojima se gaji veći broj životinja u zatvorenim uslovima.</w:t>
      </w:r>
    </w:p>
    <w:p w:rsidR="00917616" w:rsidRPr="00BE4401" w:rsidRDefault="00917616" w:rsidP="00E7415E">
      <w:pPr>
        <w:spacing w:line="276" w:lineRule="auto"/>
        <w:rPr>
          <w:rFonts w:cs="Arial"/>
          <w:szCs w:val="24"/>
          <w:lang w:val="it-IT"/>
        </w:rPr>
      </w:pPr>
      <w:r w:rsidRPr="000345E1">
        <w:rPr>
          <w:rFonts w:cs="Arial"/>
          <w:szCs w:val="24"/>
        </w:rPr>
        <w:t xml:space="preserve">U Srbiji se ostaci poljoprivredne biljne proizvodnje kao materijal u industrijskoj proizvodnji gotovo i ne koristi. Nekada se pšenična slama koristila u proizvodnji kartona (Lepenka - Novi Kneževac), kao i u građevinarstvu. </w:t>
      </w:r>
      <w:r w:rsidRPr="00BE4401">
        <w:rPr>
          <w:rFonts w:cs="Arial"/>
          <w:szCs w:val="24"/>
          <w:lang w:val="pl-PL"/>
        </w:rPr>
        <w:t xml:space="preserve">Oklasak kukuruza je korišćen kao abrazivni materijal u livnicama, a bilo je i drugih primera. </w:t>
      </w:r>
      <w:r w:rsidRPr="00BE4401">
        <w:rPr>
          <w:rFonts w:cs="Arial"/>
          <w:szCs w:val="24"/>
          <w:lang w:val="it-IT"/>
        </w:rPr>
        <w:t>Sada su takvi proizvodni kapaciteti u kojima se biomasa koristi kao materijal prestali sa radom. Postoje pokušaji da se od pšenične slame prave pločasti materijali, ali se za sada sve završava samo u pokušajima.</w:t>
      </w:r>
    </w:p>
    <w:p w:rsidR="00917616" w:rsidRPr="00BE4401" w:rsidRDefault="00917616" w:rsidP="00E7415E">
      <w:pPr>
        <w:spacing w:line="276" w:lineRule="auto"/>
        <w:rPr>
          <w:rFonts w:cs="Arial"/>
          <w:szCs w:val="24"/>
          <w:lang w:val="pl-PL"/>
        </w:rPr>
      </w:pPr>
      <w:r w:rsidRPr="00BE4401">
        <w:rPr>
          <w:rFonts w:cs="Arial"/>
          <w:szCs w:val="24"/>
          <w:u w:val="single"/>
          <w:lang w:val="pl-PL"/>
        </w:rPr>
        <w:t xml:space="preserve">Analiza potencijala poljoprivredne biomase </w:t>
      </w:r>
      <w:r w:rsidRPr="00BE4401">
        <w:rPr>
          <w:rFonts w:cs="Arial"/>
          <w:szCs w:val="24"/>
          <w:lang w:val="pl-PL"/>
        </w:rPr>
        <w:t>urađena je od strane eksperta za poljoprivredu na osnovu podataka dobijenih iz:</w:t>
      </w:r>
    </w:p>
    <w:p w:rsidR="00917616" w:rsidRPr="00BE4401" w:rsidRDefault="00917616" w:rsidP="00E7415E">
      <w:pPr>
        <w:numPr>
          <w:ilvl w:val="0"/>
          <w:numId w:val="21"/>
        </w:numPr>
        <w:spacing w:line="276" w:lineRule="auto"/>
        <w:rPr>
          <w:rFonts w:cs="Arial"/>
          <w:szCs w:val="24"/>
          <w:lang w:val="pl-PL"/>
        </w:rPr>
      </w:pPr>
      <w:r w:rsidRPr="00BE4401">
        <w:rPr>
          <w:rFonts w:cs="Arial"/>
          <w:szCs w:val="24"/>
          <w:lang w:val="pl-PL"/>
        </w:rPr>
        <w:t>Upitnika koji su popunjavani od strane referenta iz opštine o poljoprivrednoj i prehrambenoj proizvodnji i energetskih menadžera,</w:t>
      </w:r>
    </w:p>
    <w:p w:rsidR="00917616" w:rsidRPr="00BE4401" w:rsidRDefault="00917616" w:rsidP="00E7415E">
      <w:pPr>
        <w:numPr>
          <w:ilvl w:val="0"/>
          <w:numId w:val="21"/>
        </w:numPr>
        <w:spacing w:line="276" w:lineRule="auto"/>
        <w:rPr>
          <w:rFonts w:cs="Arial"/>
          <w:szCs w:val="24"/>
          <w:lang w:val="pl-PL"/>
        </w:rPr>
      </w:pPr>
      <w:r w:rsidRPr="00BE4401">
        <w:rPr>
          <w:rFonts w:cs="Arial"/>
          <w:szCs w:val="24"/>
          <w:lang w:val="pl-PL"/>
        </w:rPr>
        <w:t xml:space="preserve">Zvaničnih podataka Republičkog zavoda za statistiku, koji su bazirani na popisu poljoprivrede iz 2012. godine, podataka Uprave za veterinu i Republičkog geodetskog zavoda, </w:t>
      </w:r>
    </w:p>
    <w:p w:rsidR="00917616" w:rsidRPr="00BE4401" w:rsidRDefault="00917616" w:rsidP="00E7415E">
      <w:pPr>
        <w:numPr>
          <w:ilvl w:val="0"/>
          <w:numId w:val="21"/>
        </w:numPr>
        <w:spacing w:line="276" w:lineRule="auto"/>
        <w:rPr>
          <w:rFonts w:cs="Arial"/>
          <w:szCs w:val="24"/>
          <w:lang w:val="pl-PL"/>
        </w:rPr>
      </w:pPr>
      <w:r w:rsidRPr="00BE4401">
        <w:rPr>
          <w:rFonts w:cs="Arial"/>
          <w:szCs w:val="24"/>
          <w:lang w:val="pl-PL"/>
        </w:rPr>
        <w:t>Godišnjih statističkih izveštaja o poljoprivrednoj proizvodnji za period od 2008. do 2017. godine,</w:t>
      </w:r>
    </w:p>
    <w:p w:rsidR="00917616" w:rsidRPr="00BE4401" w:rsidRDefault="00917616" w:rsidP="00E7415E">
      <w:pPr>
        <w:numPr>
          <w:ilvl w:val="0"/>
          <w:numId w:val="21"/>
        </w:numPr>
        <w:spacing w:line="276" w:lineRule="auto"/>
        <w:rPr>
          <w:rFonts w:cs="Arial"/>
          <w:szCs w:val="24"/>
          <w:lang w:val="pl-PL"/>
        </w:rPr>
      </w:pPr>
      <w:r w:rsidRPr="00BE4401">
        <w:rPr>
          <w:rFonts w:cs="Arial"/>
          <w:szCs w:val="24"/>
          <w:lang w:val="pl-PL"/>
        </w:rPr>
        <w:t>Internih publikacija i kataloga pojedinih privrednih subjekata i</w:t>
      </w:r>
    </w:p>
    <w:p w:rsidR="00917616" w:rsidRPr="000345E1" w:rsidRDefault="00917616" w:rsidP="00E7415E">
      <w:pPr>
        <w:numPr>
          <w:ilvl w:val="0"/>
          <w:numId w:val="21"/>
        </w:numPr>
        <w:spacing w:line="276" w:lineRule="auto"/>
        <w:rPr>
          <w:rFonts w:cs="Arial"/>
          <w:szCs w:val="24"/>
        </w:rPr>
      </w:pPr>
      <w:r w:rsidRPr="000345E1">
        <w:rPr>
          <w:rFonts w:cs="Arial"/>
          <w:szCs w:val="24"/>
        </w:rPr>
        <w:t>Ekspertskih procena.</w:t>
      </w:r>
    </w:p>
    <w:p w:rsidR="00917616" w:rsidRPr="000345E1" w:rsidRDefault="00917616" w:rsidP="00E7415E">
      <w:pPr>
        <w:spacing w:line="276" w:lineRule="auto"/>
        <w:rPr>
          <w:rFonts w:cs="Arial"/>
          <w:szCs w:val="24"/>
        </w:rPr>
      </w:pPr>
      <w:r w:rsidRPr="000345E1">
        <w:rPr>
          <w:rFonts w:cs="Arial"/>
          <w:szCs w:val="24"/>
        </w:rPr>
        <w:t xml:space="preserve">Prilikom prikupljanja i analize podataka o potencijalima biomase iz poljoprivrede i agroindustrije, posebno je obraćena pažnja da su podaci za sve opštine prikupljani po istoj metodologiji, iz istih izvora i da su se odnosili za isti vremenski period. </w:t>
      </w:r>
    </w:p>
    <w:p w:rsidR="00917616" w:rsidRPr="000345E1" w:rsidRDefault="00917616" w:rsidP="00E7415E">
      <w:pPr>
        <w:spacing w:line="276" w:lineRule="auto"/>
        <w:rPr>
          <w:rFonts w:cs="Arial"/>
          <w:szCs w:val="24"/>
        </w:rPr>
      </w:pPr>
    </w:p>
    <w:p w:rsidR="00917616" w:rsidRPr="000345E1" w:rsidRDefault="00917616" w:rsidP="00E7415E">
      <w:pPr>
        <w:spacing w:line="276" w:lineRule="auto"/>
        <w:rPr>
          <w:rFonts w:cs="Arial"/>
          <w:szCs w:val="24"/>
        </w:rPr>
      </w:pPr>
      <w:r w:rsidRPr="000345E1">
        <w:rPr>
          <w:rFonts w:cs="Arial"/>
          <w:szCs w:val="24"/>
        </w:rPr>
        <w:t>Analiza je obuhvatila:</w:t>
      </w:r>
    </w:p>
    <w:p w:rsidR="00917616" w:rsidRPr="000345E1" w:rsidRDefault="00917616" w:rsidP="00E7415E">
      <w:pPr>
        <w:numPr>
          <w:ilvl w:val="0"/>
          <w:numId w:val="21"/>
        </w:numPr>
        <w:spacing w:line="276" w:lineRule="auto"/>
        <w:rPr>
          <w:rFonts w:cs="Arial"/>
          <w:szCs w:val="24"/>
        </w:rPr>
      </w:pPr>
      <w:r w:rsidRPr="000345E1">
        <w:rPr>
          <w:rFonts w:cs="Arial"/>
          <w:szCs w:val="24"/>
        </w:rPr>
        <w:t>Sagledavanje stanja u vezi poljoprivrednog zemljišta, kao osnovnog činioca poljoprivredne proizvodnja i to po pitanju vlasništva, namene i kvaliteta,</w:t>
      </w:r>
    </w:p>
    <w:p w:rsidR="00917616" w:rsidRPr="000345E1" w:rsidRDefault="00917616" w:rsidP="00E7415E">
      <w:pPr>
        <w:numPr>
          <w:ilvl w:val="0"/>
          <w:numId w:val="21"/>
        </w:numPr>
        <w:spacing w:line="276" w:lineRule="auto"/>
        <w:rPr>
          <w:rFonts w:cs="Arial"/>
          <w:szCs w:val="24"/>
        </w:rPr>
      </w:pPr>
      <w:r w:rsidRPr="000345E1">
        <w:rPr>
          <w:rFonts w:cs="Arial"/>
          <w:szCs w:val="24"/>
        </w:rPr>
        <w:t>Definisanje vrste važnijih gajenih biljnih kultura i obim njihove proizvodnje, prosečne prinose, prinose ostataka biomase kao sekundarnih i tercija</w:t>
      </w:r>
      <w:r>
        <w:rPr>
          <w:rFonts w:cs="Arial"/>
          <w:szCs w:val="24"/>
        </w:rPr>
        <w:t>r</w:t>
      </w:r>
      <w:r w:rsidRPr="000345E1">
        <w:rPr>
          <w:rFonts w:cs="Arial"/>
          <w:szCs w:val="24"/>
        </w:rPr>
        <w:t>nih proizvoda i njihove energetske potencijale,</w:t>
      </w:r>
    </w:p>
    <w:p w:rsidR="00917616" w:rsidRPr="000345E1" w:rsidRDefault="00917616" w:rsidP="00E7415E">
      <w:pPr>
        <w:numPr>
          <w:ilvl w:val="0"/>
          <w:numId w:val="21"/>
        </w:numPr>
        <w:spacing w:line="276" w:lineRule="auto"/>
        <w:rPr>
          <w:rFonts w:cs="Arial"/>
          <w:szCs w:val="24"/>
        </w:rPr>
      </w:pPr>
      <w:r w:rsidRPr="00BE4401">
        <w:rPr>
          <w:rFonts w:cs="Arial"/>
          <w:szCs w:val="24"/>
          <w:lang w:val="it-IT"/>
        </w:rPr>
        <w:t xml:space="preserve">Definisanje vrste i obima tzv. </w:t>
      </w:r>
      <w:r>
        <w:rPr>
          <w:rFonts w:cs="Arial"/>
          <w:szCs w:val="24"/>
        </w:rPr>
        <w:t>„</w:t>
      </w:r>
      <w:r w:rsidRPr="000345E1">
        <w:rPr>
          <w:rFonts w:cs="Arial"/>
          <w:szCs w:val="24"/>
        </w:rPr>
        <w:t>energetskog bilja</w:t>
      </w:r>
      <w:r>
        <w:rPr>
          <w:rFonts w:cs="Arial"/>
          <w:szCs w:val="24"/>
        </w:rPr>
        <w:t>”</w:t>
      </w:r>
      <w:r w:rsidRPr="000345E1">
        <w:rPr>
          <w:rFonts w:cs="Arial"/>
          <w:szCs w:val="24"/>
        </w:rPr>
        <w:t xml:space="preserve"> i njihove energetske potencijale,</w:t>
      </w:r>
    </w:p>
    <w:p w:rsidR="00917616" w:rsidRPr="000345E1" w:rsidRDefault="00917616" w:rsidP="00E7415E">
      <w:pPr>
        <w:numPr>
          <w:ilvl w:val="0"/>
          <w:numId w:val="21"/>
        </w:numPr>
        <w:spacing w:line="276" w:lineRule="auto"/>
        <w:rPr>
          <w:rFonts w:cs="Arial"/>
          <w:szCs w:val="24"/>
        </w:rPr>
      </w:pPr>
      <w:r w:rsidRPr="000345E1">
        <w:rPr>
          <w:rFonts w:cs="Arial"/>
          <w:szCs w:val="24"/>
        </w:rPr>
        <w:t>Definisanje vrste važnijih gajenih domaćih životinja i njihovu brojnost, produkciju stajnjaka i potencijale za proizvodnjom energije tretiranjem stajnjaka kroz biogasne tehnologije,</w:t>
      </w:r>
    </w:p>
    <w:p w:rsidR="00917616" w:rsidRPr="000345E1" w:rsidRDefault="00917616" w:rsidP="00E7415E">
      <w:pPr>
        <w:numPr>
          <w:ilvl w:val="0"/>
          <w:numId w:val="21"/>
        </w:numPr>
        <w:spacing w:line="276" w:lineRule="auto"/>
        <w:rPr>
          <w:rFonts w:cs="Arial"/>
          <w:szCs w:val="24"/>
        </w:rPr>
      </w:pPr>
      <w:r w:rsidRPr="000345E1">
        <w:rPr>
          <w:rFonts w:cs="Arial"/>
          <w:szCs w:val="24"/>
        </w:rPr>
        <w:t>Definisanje važnijih preradnih agroindustrijskih kapaciteta, njihove aktivnosti i vlasništva, lokacije pogona, obima skladištenja i preradnih kapaciteta, vrste i količina ostataka biomase, njihove namene, eventualnog stepena korišćenja u sopstvenom pogoni, količine viška ostataka biomase koje mogu biti plasirane na tržište i energetske potencijale takve biomase,</w:t>
      </w:r>
    </w:p>
    <w:p w:rsidR="00917616" w:rsidRPr="000345E1" w:rsidRDefault="00917616" w:rsidP="00E7415E">
      <w:pPr>
        <w:numPr>
          <w:ilvl w:val="0"/>
          <w:numId w:val="21"/>
        </w:numPr>
        <w:spacing w:line="276" w:lineRule="auto"/>
        <w:rPr>
          <w:rFonts w:cs="Arial"/>
          <w:szCs w:val="24"/>
        </w:rPr>
      </w:pPr>
      <w:r w:rsidRPr="000345E1">
        <w:rPr>
          <w:rFonts w:cs="Arial"/>
          <w:szCs w:val="24"/>
        </w:rPr>
        <w:t xml:space="preserve">Međusobne bilanse u raspoloživoj i potrebnoj biomasi i kvantitativnom i energetskom pogledu. </w:t>
      </w:r>
    </w:p>
    <w:p w:rsidR="00917616" w:rsidRPr="000345E1" w:rsidRDefault="00917616" w:rsidP="00E7415E">
      <w:pPr>
        <w:spacing w:line="276" w:lineRule="auto"/>
        <w:rPr>
          <w:rFonts w:cs="Arial"/>
          <w:szCs w:val="24"/>
        </w:rPr>
      </w:pPr>
    </w:p>
    <w:p w:rsidR="00917616" w:rsidRPr="000345E1" w:rsidRDefault="00917616" w:rsidP="00E7415E">
      <w:pPr>
        <w:pStyle w:val="ListParagraph"/>
        <w:numPr>
          <w:ilvl w:val="0"/>
          <w:numId w:val="28"/>
        </w:numPr>
        <w:overflowPunct/>
        <w:autoSpaceDE/>
        <w:autoSpaceDN/>
        <w:adjustRightInd/>
        <w:spacing w:line="276" w:lineRule="auto"/>
        <w:contextualSpacing w:val="0"/>
        <w:jc w:val="left"/>
        <w:textAlignment w:val="auto"/>
        <w:rPr>
          <w:rFonts w:cs="Arial"/>
          <w:b/>
          <w:szCs w:val="24"/>
          <w:u w:val="single"/>
        </w:rPr>
      </w:pPr>
      <w:r w:rsidRPr="000345E1">
        <w:rPr>
          <w:rFonts w:cs="Arial"/>
          <w:b/>
          <w:szCs w:val="24"/>
          <w:u w:val="single"/>
        </w:rPr>
        <w:t>Utvrđivanje stvarne potrošnje biomase po svim najznačajnijim kategorijama potrošača u opštini Petrovac na Mlavi</w:t>
      </w:r>
    </w:p>
    <w:p w:rsidR="00917616" w:rsidRPr="000345E1" w:rsidRDefault="00917616" w:rsidP="00E7415E">
      <w:pPr>
        <w:spacing w:line="276" w:lineRule="auto"/>
        <w:rPr>
          <w:rFonts w:cs="Arial"/>
          <w:szCs w:val="24"/>
        </w:rPr>
      </w:pPr>
      <w:r w:rsidRPr="000345E1">
        <w:rPr>
          <w:rFonts w:cs="Arial"/>
          <w:szCs w:val="24"/>
        </w:rPr>
        <w:t>Utvrđivanje stvarne potrošnje, pre svega drvne, biomase obuhvatilo je analizu potrošnje biomase za energetske potrebe i industriju po sledećim kategorijama potrošača:</w:t>
      </w:r>
    </w:p>
    <w:p w:rsidR="00917616" w:rsidRPr="000345E1" w:rsidRDefault="00917616" w:rsidP="00E7415E">
      <w:pPr>
        <w:pStyle w:val="ListParagraph"/>
        <w:numPr>
          <w:ilvl w:val="0"/>
          <w:numId w:val="21"/>
        </w:numPr>
        <w:overflowPunct/>
        <w:autoSpaceDE/>
        <w:autoSpaceDN/>
        <w:adjustRightInd/>
        <w:spacing w:line="276" w:lineRule="auto"/>
        <w:contextualSpacing w:val="0"/>
        <w:textAlignment w:val="auto"/>
        <w:rPr>
          <w:rFonts w:cs="Arial"/>
          <w:szCs w:val="24"/>
        </w:rPr>
      </w:pPr>
      <w:r w:rsidRPr="000345E1">
        <w:rPr>
          <w:rFonts w:cs="Arial"/>
          <w:szCs w:val="24"/>
        </w:rPr>
        <w:t>Domaćinstva,</w:t>
      </w:r>
    </w:p>
    <w:p w:rsidR="00917616" w:rsidRPr="000345E1" w:rsidRDefault="00917616" w:rsidP="00E7415E">
      <w:pPr>
        <w:pStyle w:val="ListParagraph"/>
        <w:numPr>
          <w:ilvl w:val="0"/>
          <w:numId w:val="21"/>
        </w:numPr>
        <w:overflowPunct/>
        <w:autoSpaceDE/>
        <w:autoSpaceDN/>
        <w:adjustRightInd/>
        <w:spacing w:line="276" w:lineRule="auto"/>
        <w:contextualSpacing w:val="0"/>
        <w:textAlignment w:val="auto"/>
        <w:rPr>
          <w:rFonts w:cs="Arial"/>
          <w:szCs w:val="24"/>
        </w:rPr>
      </w:pPr>
      <w:r w:rsidRPr="000345E1">
        <w:rPr>
          <w:rFonts w:cs="Arial"/>
          <w:szCs w:val="24"/>
        </w:rPr>
        <w:t>Objekti  od javnog značaja (predškolske ustanove, osnovne i srednje škole,  ambulante, domovi zdravlja, bolnice, objekti mesnih zajednica, objekti lokalne administracije, javna komunalna preduzeća, sudstvo i tužilaštvo, šumska uprava, muzeji kulturni centar, sportski centar i druge)</w:t>
      </w:r>
    </w:p>
    <w:p w:rsidR="00917616" w:rsidRPr="000345E1" w:rsidRDefault="00917616" w:rsidP="00E7415E">
      <w:pPr>
        <w:pStyle w:val="ListParagraph"/>
        <w:numPr>
          <w:ilvl w:val="0"/>
          <w:numId w:val="21"/>
        </w:numPr>
        <w:overflowPunct/>
        <w:autoSpaceDE/>
        <w:autoSpaceDN/>
        <w:adjustRightInd/>
        <w:spacing w:line="276" w:lineRule="auto"/>
        <w:contextualSpacing w:val="0"/>
        <w:textAlignment w:val="auto"/>
        <w:rPr>
          <w:rFonts w:cs="Arial"/>
          <w:szCs w:val="24"/>
        </w:rPr>
      </w:pPr>
      <w:r w:rsidRPr="000345E1">
        <w:rPr>
          <w:rFonts w:cs="Arial"/>
          <w:szCs w:val="24"/>
        </w:rPr>
        <w:t>Objekti koji imaju komercijalni karakter (restorani, kafane, hoteli, prodavnice, marketi, pekare, pečenjare, auto servisi)</w:t>
      </w:r>
    </w:p>
    <w:p w:rsidR="00917616" w:rsidRPr="000345E1" w:rsidRDefault="00917616" w:rsidP="00E7415E">
      <w:pPr>
        <w:pStyle w:val="ListParagraph"/>
        <w:numPr>
          <w:ilvl w:val="0"/>
          <w:numId w:val="21"/>
        </w:numPr>
        <w:overflowPunct/>
        <w:autoSpaceDE/>
        <w:autoSpaceDN/>
        <w:adjustRightInd/>
        <w:spacing w:line="276" w:lineRule="auto"/>
        <w:contextualSpacing w:val="0"/>
        <w:textAlignment w:val="auto"/>
        <w:rPr>
          <w:rFonts w:cs="Arial"/>
          <w:szCs w:val="24"/>
        </w:rPr>
      </w:pPr>
      <w:r w:rsidRPr="000345E1">
        <w:rPr>
          <w:rFonts w:cs="Arial"/>
          <w:szCs w:val="24"/>
        </w:rPr>
        <w:t>Industrija (preduzeća drvne industrije, preduzeća koja se bave proizvodnjom hrane, preduzeća iz ostalih industrija koja koriste drvna goriva)</w:t>
      </w:r>
    </w:p>
    <w:p w:rsidR="00917616" w:rsidRPr="000345E1" w:rsidRDefault="00917616" w:rsidP="00E7415E">
      <w:pPr>
        <w:pStyle w:val="ListParagraph"/>
        <w:numPr>
          <w:ilvl w:val="0"/>
          <w:numId w:val="21"/>
        </w:numPr>
        <w:overflowPunct/>
        <w:autoSpaceDE/>
        <w:autoSpaceDN/>
        <w:adjustRightInd/>
        <w:spacing w:line="276" w:lineRule="auto"/>
        <w:contextualSpacing w:val="0"/>
        <w:textAlignment w:val="auto"/>
        <w:rPr>
          <w:rFonts w:cs="Arial"/>
          <w:szCs w:val="24"/>
        </w:rPr>
      </w:pPr>
      <w:r w:rsidRPr="000345E1">
        <w:rPr>
          <w:rFonts w:cs="Arial"/>
          <w:szCs w:val="24"/>
        </w:rPr>
        <w:t>Proizvođači drvnih goriva (proizvođači peleta, briketa, drvne sečke i drvenog uglja).</w:t>
      </w:r>
    </w:p>
    <w:p w:rsidR="00917616" w:rsidRPr="000345E1" w:rsidRDefault="00917616" w:rsidP="00E7415E">
      <w:pPr>
        <w:spacing w:line="276" w:lineRule="auto"/>
        <w:rPr>
          <w:rFonts w:cs="Arial"/>
          <w:szCs w:val="24"/>
        </w:rPr>
      </w:pPr>
    </w:p>
    <w:p w:rsidR="00917616" w:rsidRPr="000345E1" w:rsidRDefault="00917616" w:rsidP="00E7415E">
      <w:pPr>
        <w:spacing w:line="276" w:lineRule="auto"/>
        <w:rPr>
          <w:rFonts w:cs="Arial"/>
          <w:szCs w:val="24"/>
        </w:rPr>
      </w:pPr>
      <w:r w:rsidRPr="000345E1">
        <w:rPr>
          <w:rFonts w:cs="Arial"/>
          <w:szCs w:val="24"/>
        </w:rPr>
        <w:t xml:space="preserve">Za prikupljanje podataka o potrošnji biomase za energetske potrebe sprovedeno je anketiranje domaćinstava na uzorku koji je reprezentativan za statistička istraživanja (veličina uzorka iznosi 2% od ukupnog broja domaćinstava koja koriste čvrsta goriva). Broj domaćinstava koja koriste čvrsta goriva za grejanje (drvo, briket, pelet, ugalj i njihove kombinacije) je dobijen kada je od ukupnog broja domaćinstava u opštini oduzet broj domaćinstava koja koriste daljinski sistem grejanja, TNG, električnu energiju i lož ulje (slika 1). </w:t>
      </w:r>
    </w:p>
    <w:p w:rsidR="00917616" w:rsidRPr="000345E1" w:rsidRDefault="00917616" w:rsidP="00E7415E">
      <w:pPr>
        <w:spacing w:line="276" w:lineRule="auto"/>
        <w:rPr>
          <w:rFonts w:cs="Arial"/>
          <w:szCs w:val="24"/>
        </w:rPr>
      </w:pPr>
      <w:r w:rsidRPr="000345E1">
        <w:rPr>
          <w:rFonts w:cs="Arial"/>
          <w:szCs w:val="24"/>
        </w:rPr>
        <w:t xml:space="preserve">Za potrebe definisanja uzorka korišćeni su podaci o broju domaćinstava u opštini iz publikacija Republičkog zavoda za statistiku kao i podaci o korišćenju pojedinih vrsta goriva za grejanje stanova na bazi rezultata popisa. </w:t>
      </w:r>
    </w:p>
    <w:p w:rsidR="00917616" w:rsidRPr="000345E1" w:rsidRDefault="00917616" w:rsidP="00E7415E">
      <w:pPr>
        <w:spacing w:line="276" w:lineRule="auto"/>
        <w:rPr>
          <w:rFonts w:cs="Arial"/>
          <w:szCs w:val="24"/>
        </w:rPr>
      </w:pPr>
    </w:p>
    <w:p w:rsidR="00917616" w:rsidRPr="000345E1" w:rsidRDefault="00917616" w:rsidP="00E7415E">
      <w:pPr>
        <w:spacing w:line="276" w:lineRule="auto"/>
        <w:jc w:val="center"/>
        <w:rPr>
          <w:rFonts w:cs="Arial"/>
          <w:sz w:val="22"/>
        </w:rPr>
      </w:pPr>
      <w:r w:rsidRPr="007D6E9D">
        <w:rPr>
          <w:rFonts w:cs="Arial"/>
          <w:noProof/>
          <w:sz w:val="22"/>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25.75pt;height:219.75pt;visibility:visible">
            <v:imagedata r:id="rId7" o:title=""/>
          </v:shape>
        </w:pict>
      </w:r>
    </w:p>
    <w:p w:rsidR="00917616" w:rsidRPr="000345E1" w:rsidRDefault="00917616" w:rsidP="00E7415E">
      <w:pPr>
        <w:spacing w:line="276" w:lineRule="auto"/>
        <w:jc w:val="center"/>
        <w:rPr>
          <w:rFonts w:cs="Arial"/>
          <w:szCs w:val="24"/>
        </w:rPr>
      </w:pPr>
      <w:r w:rsidRPr="00F21910">
        <w:rPr>
          <w:rFonts w:cs="Arial"/>
          <w:szCs w:val="24"/>
        </w:rPr>
        <w:t xml:space="preserve">Slika 1: Metodologija određivanja broja domaćinstava koja koriste čvrsta goriva za potrebe </w:t>
      </w:r>
      <w:r w:rsidRPr="000345E1">
        <w:rPr>
          <w:rFonts w:cs="Arial"/>
          <w:szCs w:val="24"/>
        </w:rPr>
        <w:t>grejanja</w:t>
      </w:r>
    </w:p>
    <w:p w:rsidR="00917616" w:rsidRPr="000345E1" w:rsidRDefault="00917616" w:rsidP="00E7415E">
      <w:pPr>
        <w:spacing w:line="276" w:lineRule="auto"/>
        <w:rPr>
          <w:rFonts w:cs="Arial"/>
          <w:sz w:val="22"/>
        </w:rPr>
      </w:pPr>
    </w:p>
    <w:p w:rsidR="00917616" w:rsidRPr="00BE4401" w:rsidRDefault="00917616" w:rsidP="00E7415E">
      <w:pPr>
        <w:spacing w:line="276" w:lineRule="auto"/>
        <w:rPr>
          <w:rFonts w:cs="Arial"/>
          <w:szCs w:val="24"/>
          <w:lang w:val="pl-PL"/>
        </w:rPr>
      </w:pPr>
      <w:r w:rsidRPr="00BE4401">
        <w:rPr>
          <w:rFonts w:cs="Arial"/>
          <w:szCs w:val="24"/>
          <w:lang w:val="pl-PL"/>
        </w:rPr>
        <w:t>Uzorak je obuhvatio gradska i seoska domaćinstva. Za te potrebe urađen je upitnik za anketiranje domaćinstava koji je, pored generalnih karakteristika domaćinstava, obuhvatio i karakteristike njihovih objekata sa stanovišta veličine, starosti, posedovanja termoizolacije, starosti prozora i vrata, kao i  količine i vrednost potrošnje određenih tipova goriva na bazi biomase, period njihove nabavke u odnosu na početak grejne sezone, izvore snabdevanja, starost ložnih uređaja, učestalost čišćenja dimnjaka i druga pitanja od značaja za potrošnju goriva kako bi mogla da se izvrši odgovarajuća kontrola dobijenih podataka.</w:t>
      </w:r>
    </w:p>
    <w:p w:rsidR="00917616" w:rsidRPr="00BE4401" w:rsidRDefault="00917616" w:rsidP="00E7415E">
      <w:pPr>
        <w:spacing w:line="276" w:lineRule="auto"/>
        <w:rPr>
          <w:rFonts w:cs="Arial"/>
          <w:szCs w:val="24"/>
          <w:lang w:val="pl-PL"/>
        </w:rPr>
      </w:pPr>
      <w:r w:rsidRPr="00BE4401">
        <w:rPr>
          <w:rFonts w:cs="Arial"/>
          <w:szCs w:val="24"/>
          <w:lang w:val="pl-PL"/>
        </w:rPr>
        <w:t xml:space="preserve">U toku anketiranja domaćinstava anketirani su i objekti od komercijalnog značaja u opštini (kafane, restorani, hoteli, pekare, pečenjare, auto servisi, prodavnice) kako bi se prikupili podaci o potrošnji drvnih goriva u ovim objektima. Za potrebe anketiranja ovih objekata urađen je odgovarajući upitnik. </w:t>
      </w:r>
    </w:p>
    <w:p w:rsidR="00917616" w:rsidRPr="00BE4401" w:rsidRDefault="00917616" w:rsidP="00E7415E">
      <w:pPr>
        <w:spacing w:line="276" w:lineRule="auto"/>
        <w:rPr>
          <w:rFonts w:cs="Arial"/>
          <w:szCs w:val="24"/>
          <w:lang w:val="pl-PL"/>
        </w:rPr>
      </w:pPr>
      <w:r w:rsidRPr="00BE4401">
        <w:rPr>
          <w:rFonts w:cs="Arial"/>
          <w:szCs w:val="24"/>
          <w:lang w:val="pl-PL"/>
        </w:rPr>
        <w:t xml:space="preserve">Potrošnja goriva na bazi biomase u javnim objektima obuhvatila je: objekte predškolskih ustanova, objekte osnovnih i srednjih škola, objekte zdravstva, sudstva, tužilaštva, toplane, domove kulture, muzeje, javnih komunalnih preduzeća, šumske uprave kao i objekte lokalne administracije. Za te potrebe urađen je odgovarajući upitnik, a prikupljanje podataka o potrošnji drvnih goriva u ovim objektima izvršeno je u direktnoj komunikaciji angažovanog eksperta i energetskog menadžera. </w:t>
      </w:r>
    </w:p>
    <w:p w:rsidR="00917616" w:rsidRPr="00BE4401" w:rsidRDefault="00917616" w:rsidP="00E7415E">
      <w:pPr>
        <w:spacing w:line="276" w:lineRule="auto"/>
        <w:rPr>
          <w:rFonts w:cs="Arial"/>
          <w:szCs w:val="24"/>
          <w:lang w:val="pl-PL"/>
        </w:rPr>
      </w:pPr>
      <w:r w:rsidRPr="00BE4401">
        <w:rPr>
          <w:rFonts w:cs="Arial"/>
          <w:szCs w:val="24"/>
          <w:lang w:val="pl-PL"/>
        </w:rPr>
        <w:t>Prikupljanje podataka o potrošnji biomase (drvne i poljoprivredne) i drvnih goriva u industriji izvršeno je na bazi odgovarajućeg upitnika od strane eksperta za biomasu kroz posete preduzećima u ovoj opštini.</w:t>
      </w:r>
    </w:p>
    <w:p w:rsidR="00917616" w:rsidRPr="00BE4401" w:rsidRDefault="00917616" w:rsidP="00E7415E">
      <w:pPr>
        <w:spacing w:line="276" w:lineRule="auto"/>
        <w:rPr>
          <w:rFonts w:cs="Arial"/>
          <w:szCs w:val="24"/>
          <w:lang w:val="pl-PL"/>
        </w:rPr>
      </w:pPr>
    </w:p>
    <w:p w:rsidR="00917616" w:rsidRPr="000345E1" w:rsidRDefault="00917616" w:rsidP="00E7415E">
      <w:pPr>
        <w:pStyle w:val="ListParagraph"/>
        <w:numPr>
          <w:ilvl w:val="0"/>
          <w:numId w:val="28"/>
        </w:numPr>
        <w:overflowPunct/>
        <w:autoSpaceDE/>
        <w:autoSpaceDN/>
        <w:adjustRightInd/>
        <w:spacing w:line="276" w:lineRule="auto"/>
        <w:contextualSpacing w:val="0"/>
        <w:jc w:val="left"/>
        <w:textAlignment w:val="auto"/>
        <w:rPr>
          <w:rFonts w:cs="Arial"/>
          <w:szCs w:val="24"/>
        </w:rPr>
      </w:pPr>
      <w:r w:rsidRPr="000345E1">
        <w:rPr>
          <w:rFonts w:cs="Arial"/>
          <w:b/>
          <w:szCs w:val="24"/>
          <w:u w:val="single"/>
        </w:rPr>
        <w:t>Izrada bilansa biomase za opštinu Petrovac na Mlavi</w:t>
      </w:r>
    </w:p>
    <w:p w:rsidR="00917616" w:rsidRPr="00BE4401" w:rsidRDefault="00917616" w:rsidP="00E7415E">
      <w:pPr>
        <w:spacing w:line="276" w:lineRule="auto"/>
        <w:rPr>
          <w:rFonts w:cs="Arial"/>
          <w:szCs w:val="24"/>
          <w:lang w:val="pl-PL"/>
        </w:rPr>
      </w:pPr>
      <w:r w:rsidRPr="00BE4401">
        <w:rPr>
          <w:rFonts w:cs="Arial"/>
          <w:szCs w:val="24"/>
          <w:lang w:val="pl-PL"/>
        </w:rPr>
        <w:t>Izabrana godina za koju je izrađen bilans je 2017.. Na bazi prikupljenih podataka iz tačaka 1 i 2 izabranog metodološkog koncepta unete su odgovarajuće vrednosti po pojedinim bilansnim pozcijiama.Leva strana bilansa obuhvata pregled potencijala biomase po pojedinim kategorijama sa količinama na osnovu podataka iz tačke 1 (procena potencijala). Desna strana energetskog bilansa obuhvata sve kategorije potrošača biomase u ovoj opštini sa količinama i njihovim učešćem u ukupnoj potrošnji (tačka 2).</w:t>
      </w:r>
    </w:p>
    <w:p w:rsidR="00917616" w:rsidRPr="00BE4401" w:rsidRDefault="00917616" w:rsidP="00E7415E">
      <w:pPr>
        <w:spacing w:line="276" w:lineRule="auto"/>
        <w:rPr>
          <w:rFonts w:cs="Arial"/>
          <w:szCs w:val="24"/>
          <w:lang w:val="pl-PL"/>
        </w:rPr>
      </w:pPr>
      <w:r w:rsidRPr="00BE4401">
        <w:rPr>
          <w:rFonts w:cs="Arial"/>
          <w:szCs w:val="24"/>
          <w:lang w:val="pl-PL"/>
        </w:rPr>
        <w:t xml:space="preserve">Na kraju bilansa predstavljeni su zbirni podaci koji pokazuju da li opština ima pozitivan ili negativan bilans biomase kao rezultat razlike između raspoloživih potencijala i stvarne potrošnje biomase. Za više detalja pogledati poglavlje 4. </w:t>
      </w:r>
    </w:p>
    <w:p w:rsidR="00917616" w:rsidRPr="00BE4401" w:rsidRDefault="00917616" w:rsidP="00E7415E">
      <w:pPr>
        <w:spacing w:line="276" w:lineRule="auto"/>
        <w:rPr>
          <w:rFonts w:cs="Arial"/>
          <w:szCs w:val="24"/>
          <w:lang w:val="pl-PL"/>
        </w:rPr>
      </w:pPr>
    </w:p>
    <w:p w:rsidR="00917616" w:rsidRPr="00BE4401" w:rsidRDefault="00917616" w:rsidP="00E7415E">
      <w:pPr>
        <w:spacing w:line="276" w:lineRule="auto"/>
        <w:ind w:firstLine="284"/>
        <w:rPr>
          <w:rFonts w:cs="Arial"/>
          <w:szCs w:val="24"/>
          <w:lang w:val="pl-PL"/>
        </w:rPr>
      </w:pPr>
      <w:r w:rsidRPr="00BE4401">
        <w:rPr>
          <w:rFonts w:cs="Arial"/>
          <w:szCs w:val="24"/>
          <w:lang w:val="pl-PL"/>
        </w:rPr>
        <w:t xml:space="preserve">2. </w:t>
      </w:r>
      <w:r w:rsidRPr="00BE4401">
        <w:rPr>
          <w:rFonts w:cs="Arial"/>
          <w:b/>
          <w:szCs w:val="24"/>
          <w:lang w:val="pl-PL"/>
        </w:rPr>
        <w:t>Procena potencijala uzgoja energetskih zasada</w:t>
      </w:r>
      <w:r w:rsidRPr="00BE4401">
        <w:rPr>
          <w:rFonts w:cs="Arial"/>
          <w:szCs w:val="24"/>
          <w:lang w:val="pl-PL"/>
        </w:rPr>
        <w:t xml:space="preserve"> </w:t>
      </w:r>
    </w:p>
    <w:p w:rsidR="00917616" w:rsidRPr="00BE4401" w:rsidRDefault="00917616" w:rsidP="00E7415E">
      <w:pPr>
        <w:spacing w:line="276" w:lineRule="auto"/>
        <w:rPr>
          <w:rFonts w:cs="Arial"/>
          <w:szCs w:val="24"/>
          <w:lang w:val="pl-PL"/>
        </w:rPr>
      </w:pPr>
      <w:r w:rsidRPr="00BE4401">
        <w:rPr>
          <w:rFonts w:cs="Arial"/>
          <w:szCs w:val="24"/>
          <w:lang w:val="pl-PL"/>
        </w:rPr>
        <w:t xml:space="preserve">Procena potencijala uzgoja energetskih zasada je rađena na osnovu analize potencijalnih područja za uzgajanje brzorastućih energetskih zasada na poljoprivrednom zemljištu lošijih kategorija. U cilju dobijanja raspoloživih površina pod poljoprivrednim zemljištem koje se može staviti u funkciju uzgajanja energetskih zasada korišćeni su podaci Uprave za zemljište, Republičkog geodetskog zavoda, podaci iz Popisa poljoprivrede Republičkog zavoda za statistiku i podaci iz opštine Petrovac na Mlavi. </w:t>
      </w:r>
    </w:p>
    <w:p w:rsidR="00917616" w:rsidRPr="00BE4401" w:rsidRDefault="00917616" w:rsidP="00E7415E">
      <w:pPr>
        <w:spacing w:line="276" w:lineRule="auto"/>
        <w:rPr>
          <w:rFonts w:cs="Arial"/>
          <w:szCs w:val="24"/>
          <w:lang w:val="pl-PL"/>
        </w:rPr>
      </w:pPr>
      <w:r w:rsidRPr="00BE4401">
        <w:rPr>
          <w:rFonts w:cs="Arial"/>
          <w:szCs w:val="24"/>
          <w:lang w:val="pl-PL"/>
        </w:rPr>
        <w:t>U skladu sa dobijenim vrednostima predložene su najpogodnije brzorastuće drvenaste vrste za energetske plantaže, a zatim izvršeni proračuni realnih prinosa biomase po hektaru i na godšnjem nivou, energetske vrednosti i ostali elementi od značaja za njeno korišćenje u energetske svrhe. Rezultati su prikazani u poglavlju 5.</w:t>
      </w:r>
    </w:p>
    <w:p w:rsidR="00917616" w:rsidRPr="00BE4401" w:rsidRDefault="00917616" w:rsidP="00E7415E">
      <w:pPr>
        <w:spacing w:line="276" w:lineRule="auto"/>
        <w:rPr>
          <w:rFonts w:cs="Arial"/>
          <w:szCs w:val="24"/>
          <w:lang w:val="pl-PL"/>
        </w:rPr>
      </w:pPr>
    </w:p>
    <w:p w:rsidR="00917616" w:rsidRPr="00BE4401" w:rsidRDefault="00917616" w:rsidP="00E7415E">
      <w:pPr>
        <w:spacing w:line="276" w:lineRule="auto"/>
        <w:ind w:firstLine="284"/>
        <w:rPr>
          <w:rFonts w:cs="Arial"/>
          <w:b/>
          <w:szCs w:val="24"/>
          <w:lang w:val="pl-PL"/>
        </w:rPr>
      </w:pPr>
      <w:r w:rsidRPr="00BE4401">
        <w:rPr>
          <w:rFonts w:cs="Arial"/>
          <w:b/>
          <w:szCs w:val="24"/>
          <w:lang w:val="pl-PL"/>
        </w:rPr>
        <w:t xml:space="preserve">3. SWOT analiza </w:t>
      </w:r>
    </w:p>
    <w:p w:rsidR="00917616" w:rsidRPr="00BE4401" w:rsidRDefault="00917616" w:rsidP="00E7415E">
      <w:pPr>
        <w:spacing w:line="276" w:lineRule="auto"/>
        <w:rPr>
          <w:rFonts w:cs="Arial"/>
          <w:szCs w:val="24"/>
          <w:lang w:val="pl-PL"/>
        </w:rPr>
      </w:pPr>
      <w:r w:rsidRPr="00BE4401">
        <w:rPr>
          <w:rFonts w:cs="Arial"/>
          <w:szCs w:val="24"/>
          <w:lang w:val="pl-PL"/>
        </w:rPr>
        <w:t xml:space="preserve">Na osnovu pregleda situacije i opštih uslova, urađena je </w:t>
      </w:r>
      <w:r w:rsidRPr="00BE4401">
        <w:rPr>
          <w:rFonts w:cs="Arial"/>
          <w:b/>
          <w:szCs w:val="24"/>
          <w:lang w:val="pl-PL"/>
        </w:rPr>
        <w:t>SWOT analiza</w:t>
      </w:r>
      <w:r w:rsidRPr="00BE4401">
        <w:rPr>
          <w:rFonts w:cs="Arial"/>
          <w:szCs w:val="24"/>
          <w:lang w:val="pl-PL"/>
        </w:rPr>
        <w:t xml:space="preserve"> koja je prikazana u poglavlju 6.</w:t>
      </w:r>
    </w:p>
    <w:p w:rsidR="00917616" w:rsidRPr="00BE4401" w:rsidRDefault="00917616" w:rsidP="00E7415E">
      <w:pPr>
        <w:spacing w:line="276" w:lineRule="auto"/>
        <w:rPr>
          <w:rFonts w:cs="Arial"/>
          <w:szCs w:val="24"/>
          <w:lang w:val="pl-PL"/>
        </w:rPr>
      </w:pPr>
    </w:p>
    <w:p w:rsidR="00917616" w:rsidRPr="00BE4401" w:rsidRDefault="00917616" w:rsidP="00E7415E">
      <w:pPr>
        <w:spacing w:line="276" w:lineRule="auto"/>
        <w:ind w:firstLine="284"/>
        <w:rPr>
          <w:rFonts w:cs="Arial"/>
          <w:b/>
          <w:szCs w:val="24"/>
          <w:lang w:val="pl-PL"/>
        </w:rPr>
      </w:pPr>
      <w:r w:rsidRPr="00BE4401">
        <w:rPr>
          <w:rFonts w:cs="Arial"/>
          <w:b/>
          <w:szCs w:val="24"/>
          <w:lang w:val="pl-PL"/>
        </w:rPr>
        <w:t>4. Izrada programa sa akcionim planom</w:t>
      </w:r>
    </w:p>
    <w:p w:rsidR="00917616" w:rsidRPr="00BE4401" w:rsidRDefault="00917616" w:rsidP="00E7415E">
      <w:pPr>
        <w:spacing w:line="276" w:lineRule="auto"/>
        <w:rPr>
          <w:rFonts w:cs="Arial"/>
          <w:szCs w:val="24"/>
          <w:lang w:val="pl-PL"/>
        </w:rPr>
      </w:pPr>
      <w:r w:rsidRPr="00BE4401">
        <w:rPr>
          <w:rFonts w:cs="Arial"/>
          <w:szCs w:val="24"/>
          <w:lang w:val="pl-PL"/>
        </w:rPr>
        <w:t xml:space="preserve">Dobijeni rezultati su zatim korišćeni za izvođenje odgovarajućih zaključaka i za </w:t>
      </w:r>
      <w:r w:rsidRPr="00BE4401">
        <w:rPr>
          <w:rFonts w:cs="Arial"/>
          <w:b/>
          <w:szCs w:val="24"/>
          <w:lang w:val="pl-PL"/>
        </w:rPr>
        <w:t>izradu</w:t>
      </w:r>
      <w:r w:rsidRPr="00BE4401">
        <w:rPr>
          <w:rFonts w:cs="Arial"/>
          <w:szCs w:val="24"/>
          <w:lang w:val="pl-PL"/>
        </w:rPr>
        <w:t xml:space="preserve"> </w:t>
      </w:r>
      <w:r w:rsidRPr="00BE4401">
        <w:rPr>
          <w:rFonts w:cs="Arial"/>
          <w:b/>
          <w:szCs w:val="24"/>
          <w:lang w:val="pl-PL"/>
        </w:rPr>
        <w:t xml:space="preserve">Programa i Akcionog plana </w:t>
      </w:r>
      <w:r w:rsidRPr="00BE4401">
        <w:rPr>
          <w:rFonts w:cs="Arial"/>
          <w:szCs w:val="24"/>
          <w:lang w:val="pl-PL"/>
        </w:rPr>
        <w:t xml:space="preserve">za korišćenje biomase za izabranu opštinu. </w:t>
      </w:r>
    </w:p>
    <w:p w:rsidR="00917616" w:rsidRPr="00BE4401" w:rsidRDefault="00917616" w:rsidP="00E7415E">
      <w:pPr>
        <w:overflowPunct/>
        <w:autoSpaceDE/>
        <w:autoSpaceDN/>
        <w:adjustRightInd/>
        <w:spacing w:line="276" w:lineRule="auto"/>
        <w:jc w:val="left"/>
        <w:textAlignment w:val="auto"/>
        <w:rPr>
          <w:rFonts w:cs="Arial"/>
          <w:b/>
          <w:color w:val="121754"/>
          <w:spacing w:val="60"/>
          <w:sz w:val="28"/>
          <w:lang w:val="pl-PL"/>
        </w:rPr>
      </w:pPr>
      <w:r w:rsidRPr="00BE4401">
        <w:rPr>
          <w:lang w:val="pl-PL"/>
        </w:rPr>
        <w:br w:type="page"/>
      </w:r>
    </w:p>
    <w:p w:rsidR="00917616" w:rsidRPr="000345E1" w:rsidRDefault="00917616" w:rsidP="00E7415E">
      <w:pPr>
        <w:pStyle w:val="Heading1"/>
        <w:numPr>
          <w:ilvl w:val="0"/>
          <w:numId w:val="12"/>
        </w:numPr>
        <w:spacing w:before="0" w:after="120" w:line="276" w:lineRule="auto"/>
      </w:pPr>
      <w:bookmarkStart w:id="6" w:name="_Toc531367202"/>
      <w:r w:rsidRPr="000345E1">
        <w:t>OPŠTE INFORMACIJE</w:t>
      </w:r>
      <w:r w:rsidRPr="000345E1">
        <w:rPr>
          <w:rStyle w:val="FootnoteReference"/>
          <w:rFonts w:cs="Arial"/>
        </w:rPr>
        <w:footnoteReference w:id="1"/>
      </w:r>
      <w:bookmarkEnd w:id="6"/>
    </w:p>
    <w:p w:rsidR="00917616" w:rsidRPr="00BE4401" w:rsidRDefault="00917616" w:rsidP="00E7415E">
      <w:pPr>
        <w:overflowPunct/>
        <w:autoSpaceDE/>
        <w:autoSpaceDN/>
        <w:adjustRightInd/>
        <w:spacing w:line="276" w:lineRule="auto"/>
        <w:jc w:val="left"/>
        <w:textAlignment w:val="auto"/>
        <w:rPr>
          <w:lang w:val="it-IT"/>
        </w:rPr>
      </w:pPr>
      <w:r w:rsidRPr="000345E1">
        <w:t xml:space="preserve">Opština Petrovac na Mlavi se nalazi u južnom delu Braničevskog okruga u centralnoj Srbiji.  Petrovac na Mlavi obuhvata 34 naselja. Po podacima iz 2011. godine u opštini je živelo 31.259 stanovnika. Poljoprivredna proizvodnja je najvažnija privredna delatnost u opštini, pre svega voćarska, a zatim i stočarska proizvodnja. </w:t>
      </w:r>
      <w:r w:rsidRPr="00BE4401">
        <w:rPr>
          <w:lang w:val="it-IT"/>
        </w:rPr>
        <w:t>Prerađivačka industrija, trgovina i turizam su takođe značajne u strukturi privrede opštine.</w:t>
      </w:r>
    </w:p>
    <w:p w:rsidR="00917616" w:rsidRPr="00BE4401" w:rsidRDefault="00917616" w:rsidP="00E7415E">
      <w:pPr>
        <w:overflowPunct/>
        <w:autoSpaceDE/>
        <w:autoSpaceDN/>
        <w:adjustRightInd/>
        <w:spacing w:line="276" w:lineRule="auto"/>
        <w:jc w:val="left"/>
        <w:textAlignment w:val="auto"/>
        <w:rPr>
          <w:lang w:val="it-IT"/>
        </w:rPr>
      </w:pPr>
    </w:p>
    <w:p w:rsidR="00917616" w:rsidRPr="00BE4401" w:rsidRDefault="00917616" w:rsidP="00E7415E">
      <w:pPr>
        <w:overflowPunct/>
        <w:autoSpaceDE/>
        <w:autoSpaceDN/>
        <w:adjustRightInd/>
        <w:spacing w:line="276" w:lineRule="auto"/>
        <w:jc w:val="left"/>
        <w:textAlignment w:val="auto"/>
        <w:rPr>
          <w:lang w:val="it-IT"/>
        </w:rPr>
      </w:pPr>
      <w:r w:rsidRPr="00BE4401">
        <w:rPr>
          <w:lang w:val="it-IT"/>
        </w:rPr>
        <w:br w:type="page"/>
      </w:r>
    </w:p>
    <w:p w:rsidR="00917616" w:rsidRPr="000345E1" w:rsidRDefault="00917616" w:rsidP="00E7415E">
      <w:pPr>
        <w:pStyle w:val="Heading1"/>
        <w:numPr>
          <w:ilvl w:val="0"/>
          <w:numId w:val="12"/>
        </w:numPr>
        <w:spacing w:before="0" w:after="120" w:line="276" w:lineRule="auto"/>
      </w:pPr>
      <w:bookmarkStart w:id="7" w:name="_Toc531367203"/>
      <w:r w:rsidRPr="000345E1">
        <w:t>CILJ PROGRAMA</w:t>
      </w:r>
      <w:bookmarkEnd w:id="7"/>
    </w:p>
    <w:p w:rsidR="00917616" w:rsidRPr="000345E1" w:rsidRDefault="00917616" w:rsidP="00E7415E">
      <w:pPr>
        <w:spacing w:line="276" w:lineRule="auto"/>
      </w:pPr>
      <w:r w:rsidRPr="000345E1">
        <w:t xml:space="preserve">Na bazi trenutnog stanja u pogledu raspoloživosti biomase u opštini Petrovac na Mlavi, stepena i efikasnosti njenog korišćenja i mogućnosti koje se nalaze u segmentu prevođenja javnih objekata koja koriste fosilna goriva (mazut i ugalj) na biomasu u nastavku su definisana dva osnovna cilja Programa za korišćenje biomase u opštini Petrovac na Mlavi. Izbor ovih ciljeva rezultat je činjenice da u opštini Petrovac na Mlavi postoje objekti od javnog značaja koji još uvek koriste fosilna goriva, a koji predstavljaju velike potrošače tih energenata čija nabavka se finansira iz budžeta lokalne samouprave. To se posebno odnosi na školske objekte u seoskim područjima u kojima se koriste velike količine uglja u kombinaciji sa manjim količinama drveta. U matičnoj školi u selu Šetonje se koristi mazut. </w:t>
      </w:r>
    </w:p>
    <w:p w:rsidR="00917616" w:rsidRPr="000345E1" w:rsidRDefault="00917616" w:rsidP="00E7415E">
      <w:pPr>
        <w:spacing w:line="276" w:lineRule="auto"/>
      </w:pPr>
      <w:r w:rsidRPr="000345E1">
        <w:t>U grejnoj sezoni 2017/2018. za potrebe svih objekata od javnog značaja koji se finansiraju iz budžeta lokalne samouprave na teritoriji oštine Petrovac na Mlavi utrošeno je 329 tona uglja, 17 tona mazuta i 182 m</w:t>
      </w:r>
      <w:r w:rsidRPr="000345E1">
        <w:rPr>
          <w:vertAlign w:val="superscript"/>
        </w:rPr>
        <w:t>3</w:t>
      </w:r>
      <w:r w:rsidRPr="000345E1">
        <w:t xml:space="preserve"> ogrevnog drveta. </w:t>
      </w:r>
    </w:p>
    <w:p w:rsidR="00917616" w:rsidRPr="000345E1" w:rsidRDefault="00917616" w:rsidP="00E7415E">
      <w:pPr>
        <w:spacing w:line="276" w:lineRule="auto"/>
      </w:pPr>
      <w:r w:rsidRPr="000345E1">
        <w:t>Najveći potrošači uglja su objekti osnovnih škola u selima Veliko Laole, Ranovac i Melnica. Iz kotlarnice osnovne škole u selu Veliko Laole toplotnom energijom snabdeva se i objekat obdaništa koji se nalazi u neposrednoj blizini škole.</w:t>
      </w:r>
      <w:r>
        <w:t xml:space="preserve"> </w:t>
      </w:r>
      <w:r w:rsidRPr="000345E1">
        <w:t xml:space="preserve">Imajući u vidu količine fosilnih goriva koja se troše za potrebe grejanja javnih objekata kao i troškove njihove nabavke, postoje svi opravdani razlozi za prevođenje tih objekata na biomasu. </w:t>
      </w:r>
    </w:p>
    <w:p w:rsidR="00917616" w:rsidRPr="000345E1" w:rsidRDefault="00917616" w:rsidP="00E7415E">
      <w:pPr>
        <w:spacing w:line="276" w:lineRule="auto"/>
      </w:pPr>
      <w:r w:rsidRPr="000345E1">
        <w:t>S obzirom da gradska toplana godišnje troši između 450 i 600 tona mazuta (u zavisnosti od karakteristika zime), a kako ista ima sve tehničke preduslove za korišćenje biomase, to postoje svi razlozi da se i u njoj izvrši zamena mazuta sa biomasom. Sa stanovišta ciljeva i vremenske dimenzije ovog Programa kao i visine investicije to će se zamena mazuta sa biomasom odvijati fazno.</w:t>
      </w:r>
    </w:p>
    <w:p w:rsidR="00917616" w:rsidRPr="000345E1" w:rsidRDefault="00917616" w:rsidP="00E7415E">
      <w:pPr>
        <w:spacing w:line="276" w:lineRule="auto"/>
      </w:pPr>
      <w:r w:rsidRPr="000345E1">
        <w:t xml:space="preserve">Kada su u pitanju domaćinstva i potrošnja drvne energije po jedinici površine koja se zagreva u toku grejne sezone stanje u pogledu efikasnosti korišćenja ogrevnog drveta nije zadovoljavajuće jer je prosečna potrošnja skoro 2,6 puta veća u odnosu na prosečnu potrošnju koja se smatra zadovoljavajućem sa stanovišta energetske efikasnosti. Iz tog razloga postoji potreba unapređenja efikasnosti korišćenja ogrevnog drveta kod ove kategorije potrošača. </w:t>
      </w:r>
    </w:p>
    <w:p w:rsidR="00917616" w:rsidRPr="000345E1" w:rsidRDefault="00917616" w:rsidP="00E7415E">
      <w:pPr>
        <w:spacing w:line="276" w:lineRule="auto"/>
      </w:pPr>
    </w:p>
    <w:p w:rsidR="00917616" w:rsidRPr="000345E1" w:rsidRDefault="00917616" w:rsidP="00E7415E">
      <w:pPr>
        <w:spacing w:line="276" w:lineRule="auto"/>
      </w:pPr>
      <w:r w:rsidRPr="000345E1">
        <w:t>Cilj 1:</w:t>
      </w:r>
    </w:p>
    <w:p w:rsidR="00917616" w:rsidRPr="000345E1" w:rsidRDefault="00917616" w:rsidP="00E7415E">
      <w:pPr>
        <w:spacing w:line="276" w:lineRule="auto"/>
      </w:pPr>
      <w:r>
        <w:rPr>
          <w:noProof/>
          <w:lang w:val="en-US" w:eastAsia="en-US"/>
        </w:rPr>
        <w:pict>
          <v:shapetype id="_x0000_t202" coordsize="21600,21600" o:spt="202" path="m,l,21600r21600,l21600,xe">
            <v:stroke joinstyle="miter"/>
            <v:path gradientshapeok="t" o:connecttype="rect"/>
          </v:shapetype>
          <v:shape id="Text Box 3" o:spid="_x0000_s1026" type="#_x0000_t202" style="position:absolute;left:0;text-align:left;margin-left:3.3pt;margin-top:.4pt;width:453.75pt;height:42.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">
            <v:textbox>
              <w:txbxContent>
                <w:p w:rsidR="00917616" w:rsidRPr="00171E4E" w:rsidRDefault="00917616" w:rsidP="00171E4E">
                  <w:r>
                    <w:t>Zamena mazuta i uglja sa biomasom i unapređenje efikasnosti grejanja u školskim objektima koji predstavljaju najveće potrošače energenata u opštini Petrovac na Mlavi.</w:t>
                  </w:r>
                </w:p>
              </w:txbxContent>
            </v:textbox>
          </v:shape>
        </w:pict>
      </w:r>
    </w:p>
    <w:p w:rsidR="00917616" w:rsidRPr="000345E1" w:rsidRDefault="00917616" w:rsidP="00E7415E">
      <w:pPr>
        <w:spacing w:line="276" w:lineRule="auto"/>
      </w:pPr>
    </w:p>
    <w:p w:rsidR="00917616" w:rsidRPr="000345E1" w:rsidRDefault="00917616" w:rsidP="00E7415E">
      <w:pPr>
        <w:spacing w:line="276" w:lineRule="auto"/>
      </w:pPr>
    </w:p>
    <w:p w:rsidR="00917616" w:rsidRDefault="00917616" w:rsidP="00E7415E">
      <w:pPr>
        <w:spacing w:line="276" w:lineRule="auto"/>
      </w:pPr>
    </w:p>
    <w:p w:rsidR="00917616" w:rsidRPr="000345E1" w:rsidRDefault="00917616" w:rsidP="00E7415E">
      <w:pPr>
        <w:spacing w:line="276" w:lineRule="auto"/>
      </w:pPr>
      <w:r w:rsidRPr="000345E1">
        <w:t>Cilj 2.</w:t>
      </w:r>
    </w:p>
    <w:p w:rsidR="00917616" w:rsidRPr="000345E1" w:rsidRDefault="00917616" w:rsidP="00E7415E">
      <w:pPr>
        <w:spacing w:line="276" w:lineRule="auto"/>
      </w:pPr>
      <w:r>
        <w:rPr>
          <w:noProof/>
          <w:lang w:val="en-US" w:eastAsia="en-US"/>
        </w:rPr>
        <w:pict>
          <v:shape id="Text Box 4" o:spid="_x0000_s1027" type="#_x0000_t202" style="position:absolute;left:0;text-align:left;margin-left:3.3pt;margin-top:4pt;width:453.75pt;height:54.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">
            <v:textbox>
              <w:txbxContent>
                <w:p w:rsidR="00917616" w:rsidRPr="00051117" w:rsidRDefault="00917616" w:rsidP="00F574C6">
                  <w:pPr>
                    <w:spacing w:line="276" w:lineRule="auto"/>
                  </w:pPr>
                  <w:r>
                    <w:t>Povećanje efikasnosti korišćenja ogrevnog drveta u domaćinstvima putem edukacije sa ciljem  povećanja broja domaćinstava koja efikasno koriste ogrevno drvo za najmanje 10% u odnosu na baznu 2017. godinu.</w:t>
                  </w:r>
                </w:p>
                <w:p w:rsidR="00917616" w:rsidRPr="00F574C6" w:rsidRDefault="00917616" w:rsidP="00F574C6"/>
              </w:txbxContent>
            </v:textbox>
          </v:shape>
        </w:pict>
      </w:r>
    </w:p>
    <w:p w:rsidR="00917616" w:rsidRPr="000345E1" w:rsidRDefault="00917616" w:rsidP="00E7415E">
      <w:pPr>
        <w:spacing w:line="276" w:lineRule="auto"/>
      </w:pPr>
    </w:p>
    <w:p w:rsidR="00917616" w:rsidRPr="000345E1" w:rsidRDefault="00917616" w:rsidP="00E7415E">
      <w:pPr>
        <w:spacing w:line="276" w:lineRule="auto"/>
      </w:pPr>
    </w:p>
    <w:p w:rsidR="00917616" w:rsidRPr="000345E1" w:rsidRDefault="00917616" w:rsidP="00E7415E">
      <w:pPr>
        <w:spacing w:line="276" w:lineRule="auto"/>
      </w:pPr>
    </w:p>
    <w:p w:rsidR="00917616" w:rsidRPr="000345E1" w:rsidRDefault="00917616" w:rsidP="00E7415E">
      <w:pPr>
        <w:spacing w:line="276" w:lineRule="auto"/>
      </w:pPr>
    </w:p>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rPr>
          <w:rFonts w:cs="Arial"/>
          <w:b/>
          <w:color w:val="121754"/>
          <w:spacing w:val="60"/>
          <w:sz w:val="28"/>
        </w:rPr>
      </w:pPr>
      <w:r w:rsidRPr="000345E1">
        <w:br w:type="page"/>
      </w:r>
    </w:p>
    <w:p w:rsidR="00917616" w:rsidRPr="000345E1" w:rsidRDefault="00917616" w:rsidP="00E7415E">
      <w:pPr>
        <w:pStyle w:val="Heading1"/>
        <w:numPr>
          <w:ilvl w:val="0"/>
          <w:numId w:val="12"/>
        </w:numPr>
        <w:spacing w:before="0" w:after="120" w:line="276" w:lineRule="auto"/>
      </w:pPr>
      <w:bookmarkStart w:id="8" w:name="_Toc531367204"/>
      <w:r w:rsidRPr="000345E1">
        <w:t>BILANS BIOMASE OPŠTINE PETROVAC NA MLAVI</w:t>
      </w:r>
      <w:bookmarkEnd w:id="8"/>
    </w:p>
    <w:p w:rsidR="00917616" w:rsidRPr="000345E1" w:rsidRDefault="00917616" w:rsidP="00E7415E">
      <w:pPr>
        <w:pStyle w:val="Heading2"/>
        <w:numPr>
          <w:ilvl w:val="1"/>
          <w:numId w:val="12"/>
        </w:numPr>
        <w:spacing w:before="0" w:after="120" w:line="276" w:lineRule="auto"/>
      </w:pPr>
      <w:bookmarkStart w:id="9" w:name="_Toc531367205"/>
      <w:r w:rsidRPr="000345E1">
        <w:t>Bilans drvne biomase</w:t>
      </w:r>
      <w:bookmarkEnd w:id="9"/>
    </w:p>
    <w:p w:rsidR="00917616" w:rsidRPr="000345E1" w:rsidRDefault="00917616" w:rsidP="00E7415E">
      <w:pPr>
        <w:spacing w:line="276" w:lineRule="auto"/>
        <w:rPr>
          <w:i/>
        </w:rPr>
      </w:pPr>
    </w:p>
    <w:p w:rsidR="00917616" w:rsidRPr="000345E1" w:rsidRDefault="00917616" w:rsidP="00E7415E">
      <w:pPr>
        <w:spacing w:line="276" w:lineRule="auto"/>
        <w:rPr>
          <w:rFonts w:cs="Arial"/>
          <w:b/>
        </w:rPr>
      </w:pPr>
      <w:r w:rsidRPr="000345E1">
        <w:rPr>
          <w:rFonts w:cs="Arial"/>
          <w:b/>
        </w:rPr>
        <w:t>Osnovne karakteristike šumskog fonda u opštini Petrovac na Mlavi</w:t>
      </w:r>
    </w:p>
    <w:p w:rsidR="00917616" w:rsidRPr="000345E1" w:rsidRDefault="00917616" w:rsidP="00E7415E">
      <w:pPr>
        <w:spacing w:line="276" w:lineRule="auto"/>
        <w:rPr>
          <w:rFonts w:cs="Arial"/>
          <w:szCs w:val="24"/>
        </w:rPr>
      </w:pPr>
      <w:r w:rsidRPr="000345E1">
        <w:rPr>
          <w:rFonts w:cs="Arial"/>
          <w:szCs w:val="24"/>
        </w:rPr>
        <w:t>Opština Petrovac na Mlavi spada u grupu opština u Srbiji koje imaju relativno malu šumovitost. Površina pod šumama u ovoj opštini iznosi 17.600 ha što predstavlja 25,7% u odnosu na ukupnu površinu opštine. Šumovitost ove opštine je ispod proseka za Republiku Srbiju (29,2%) (Nacionalna inventura šuma RS, 2009</w:t>
      </w:r>
      <w:r>
        <w:rPr>
          <w:rFonts w:cs="Arial"/>
          <w:szCs w:val="24"/>
        </w:rPr>
        <w:t>.</w:t>
      </w:r>
      <w:r w:rsidRPr="000345E1">
        <w:rPr>
          <w:rFonts w:cs="Arial"/>
          <w:szCs w:val="24"/>
        </w:rPr>
        <w:t>).</w:t>
      </w:r>
    </w:p>
    <w:p w:rsidR="00917616" w:rsidRPr="000345E1" w:rsidRDefault="00917616" w:rsidP="00E7415E">
      <w:pPr>
        <w:spacing w:line="276" w:lineRule="auto"/>
        <w:rPr>
          <w:rFonts w:cs="Arial"/>
          <w:szCs w:val="24"/>
        </w:rPr>
      </w:pPr>
      <w:r>
        <w:rPr>
          <w:noProof/>
          <w:lang w:val="en-US" w:eastAsia="en-US"/>
        </w:rPr>
        <w:pict>
          <v:shape id="Picture 1" o:spid="_x0000_s1028" type="#_x0000_t75" style="position:absolute;left:0;text-align:left;margin-left:0;margin-top:8.75pt;width:193.8pt;height:292.35pt;z-index:251660288;visibility:visible;mso-position-horizontal:left;mso-position-horizontal-relative:margin">
            <v:imagedata r:id="rId8" o:title=""/>
            <w10:wrap type="square" anchorx="margin"/>
          </v:shape>
        </w:pict>
      </w:r>
      <w:r w:rsidRPr="000345E1">
        <w:rPr>
          <w:rFonts w:cs="Arial"/>
          <w:szCs w:val="24"/>
        </w:rPr>
        <w:t xml:space="preserve">U strukturi šumskog fonda dominantne su lišćarske vrste drveća sa učešćem od 99,6%. U pogledu zastupljenosti pojedinih kategorija šuma u ovoj opštini preovlađuju niskokvalitetne izdanačke šume sa učešćem od 75%, dok je učešće visokih prirodnih šuma i veštački podignutih sastojina 25%. Ovakva struktura šumskog fonda opredeljuje i zastupljenost pojedinih drvnih sortimenata u ukupnoj proizvodnji drveta na nivou opštine u kojoj dominira ogrevno drvo. </w:t>
      </w:r>
    </w:p>
    <w:p w:rsidR="00917616" w:rsidRPr="000345E1" w:rsidRDefault="00917616" w:rsidP="00E7415E">
      <w:pPr>
        <w:spacing w:line="276" w:lineRule="auto"/>
        <w:rPr>
          <w:rFonts w:cs="Arial"/>
          <w:szCs w:val="24"/>
        </w:rPr>
      </w:pPr>
      <w:r w:rsidRPr="000345E1">
        <w:rPr>
          <w:rFonts w:cs="Arial"/>
          <w:szCs w:val="24"/>
        </w:rPr>
        <w:t>Šume u privatnom vlasništvu dominiraju u površini pod šumama sa učešćem od 72,7% dok je učešće šuma u državnom vlasništvu 27,3%. U šumskom fondu opštine Petrovac na Mlavi nalazi se 2,39 miliona m</w:t>
      </w:r>
      <w:r w:rsidRPr="000345E1">
        <w:rPr>
          <w:rFonts w:cs="Arial"/>
          <w:szCs w:val="24"/>
          <w:vertAlign w:val="superscript"/>
        </w:rPr>
        <w:t>3</w:t>
      </w:r>
      <w:r w:rsidRPr="000345E1">
        <w:rPr>
          <w:rFonts w:cs="Arial"/>
          <w:szCs w:val="24"/>
        </w:rPr>
        <w:t xml:space="preserve"> drvne zapremine na panju, od čega je skoro 1,85 miliona m</w:t>
      </w:r>
      <w:r w:rsidRPr="000345E1">
        <w:rPr>
          <w:rFonts w:cs="Arial"/>
          <w:szCs w:val="24"/>
          <w:vertAlign w:val="superscript"/>
        </w:rPr>
        <w:t>3</w:t>
      </w:r>
      <w:r w:rsidRPr="000345E1">
        <w:rPr>
          <w:rFonts w:cs="Arial"/>
          <w:szCs w:val="24"/>
        </w:rPr>
        <w:t xml:space="preserve"> u privatnim, a 546 hiljada m</w:t>
      </w:r>
      <w:r w:rsidRPr="000345E1">
        <w:rPr>
          <w:rFonts w:cs="Arial"/>
          <w:szCs w:val="24"/>
          <w:vertAlign w:val="superscript"/>
        </w:rPr>
        <w:t>3</w:t>
      </w:r>
      <w:r w:rsidRPr="000345E1">
        <w:rPr>
          <w:rFonts w:cs="Arial"/>
          <w:szCs w:val="24"/>
        </w:rPr>
        <w:t xml:space="preserve"> u državnim šumama. Kao i kod površina pod šumama i u drvnoj zapremini na panju dominantno je učešće lišćara (97,8%), a među njima najviše ima bukve, hrasta i bagrema.</w:t>
      </w:r>
    </w:p>
    <w:p w:rsidR="00917616" w:rsidRPr="001018A1" w:rsidRDefault="00917616" w:rsidP="00E7415E">
      <w:pPr>
        <w:spacing w:line="276" w:lineRule="auto"/>
        <w:rPr>
          <w:rFonts w:cs="Arial"/>
          <w:szCs w:val="24"/>
        </w:rPr>
      </w:pPr>
      <w:r w:rsidRPr="000345E1">
        <w:rPr>
          <w:rFonts w:cs="Arial"/>
          <w:szCs w:val="24"/>
        </w:rPr>
        <w:t>Godišnji zapreminski prirast u opštini Petrovac na Mlavi iznosi svega 64.598 m</w:t>
      </w:r>
      <w:r w:rsidRPr="000345E1">
        <w:rPr>
          <w:rFonts w:cs="Arial"/>
          <w:szCs w:val="24"/>
          <w:vertAlign w:val="superscript"/>
        </w:rPr>
        <w:t>3</w:t>
      </w:r>
      <w:r w:rsidRPr="000345E1">
        <w:rPr>
          <w:rFonts w:cs="Arial"/>
          <w:szCs w:val="24"/>
        </w:rPr>
        <w:t xml:space="preserve"> i isti se ostvaruj</w:t>
      </w:r>
      <w:r>
        <w:rPr>
          <w:rFonts w:cs="Arial"/>
          <w:szCs w:val="24"/>
        </w:rPr>
        <w:t>e sa 96,6% u lišćarskim šumama.</w:t>
      </w:r>
    </w:p>
    <w:p w:rsidR="00917616" w:rsidRPr="00BE4401" w:rsidRDefault="00917616" w:rsidP="00E7415E">
      <w:pPr>
        <w:spacing w:line="276" w:lineRule="auto"/>
        <w:rPr>
          <w:rFonts w:cs="Arial"/>
          <w:szCs w:val="24"/>
          <w:lang w:val="pt-BR"/>
        </w:rPr>
      </w:pPr>
      <w:r w:rsidRPr="00BE4401">
        <w:rPr>
          <w:rFonts w:cs="Arial"/>
          <w:sz w:val="20"/>
          <w:szCs w:val="20"/>
          <w:lang w:val="pt-BR"/>
        </w:rPr>
        <w:t xml:space="preserve">Izvor: Nacionalna inventura šuma RS, 2009.                    </w:t>
      </w:r>
    </w:p>
    <w:p w:rsidR="00917616" w:rsidRPr="00BE4401" w:rsidRDefault="00917616" w:rsidP="00E7415E">
      <w:pPr>
        <w:spacing w:line="276" w:lineRule="auto"/>
        <w:rPr>
          <w:rFonts w:cs="Arial"/>
          <w:b/>
          <w:szCs w:val="24"/>
          <w:lang w:val="pt-BR"/>
        </w:rPr>
      </w:pPr>
    </w:p>
    <w:p w:rsidR="00917616" w:rsidRPr="00BE4401" w:rsidRDefault="00917616" w:rsidP="00E7415E">
      <w:pPr>
        <w:spacing w:line="276" w:lineRule="auto"/>
        <w:rPr>
          <w:rFonts w:cs="Arial"/>
          <w:b/>
          <w:szCs w:val="24"/>
          <w:lang w:val="pt-BR"/>
        </w:rPr>
      </w:pPr>
      <w:r w:rsidRPr="00BE4401">
        <w:rPr>
          <w:rFonts w:cs="Arial"/>
          <w:b/>
          <w:szCs w:val="24"/>
          <w:lang w:val="pt-BR"/>
        </w:rPr>
        <w:t>Bilans drvne biomase opštine Petrovac na Mlavi</w:t>
      </w:r>
    </w:p>
    <w:p w:rsidR="00917616" w:rsidRPr="00BE4401" w:rsidRDefault="00917616" w:rsidP="00E7415E">
      <w:pPr>
        <w:spacing w:line="276" w:lineRule="auto"/>
        <w:rPr>
          <w:rFonts w:cs="Arial"/>
          <w:szCs w:val="24"/>
          <w:lang w:val="pt-BR"/>
        </w:rPr>
      </w:pPr>
    </w:p>
    <w:p w:rsidR="00917616" w:rsidRPr="000345E1" w:rsidRDefault="00917616" w:rsidP="00E7415E">
      <w:pPr>
        <w:spacing w:line="276" w:lineRule="auto"/>
        <w:rPr>
          <w:rFonts w:cs="Arial"/>
        </w:rPr>
      </w:pPr>
      <w:r w:rsidRPr="00BE4401">
        <w:rPr>
          <w:rFonts w:cs="Arial"/>
          <w:lang w:val="pt-BR"/>
        </w:rPr>
        <w:t xml:space="preserve">Za izradu bilansa drvne biomase opštine Petrovac na Mlavi korišćena je metodologija Komiteta za drvo UNECE i zvanični podaci Nacionalne inventure šuma, JP Srbijašume, podaci iz dokumenata iz stručnih službi opštine o potrošnji drvnih goriva u javnom sektoru kao i podaci dobijeni na osnovu terenskih istraživanja kroz sprovedene ankete u domaćinstvima, komercijalnim objektima i industriji. </w:t>
      </w:r>
      <w:r w:rsidRPr="000345E1">
        <w:rPr>
          <w:rFonts w:cs="Arial"/>
        </w:rPr>
        <w:t>Pri tom:</w:t>
      </w:r>
    </w:p>
    <w:p w:rsidR="00917616" w:rsidRPr="000345E1" w:rsidRDefault="00917616" w:rsidP="00BE4401">
      <w:pPr>
        <w:pStyle w:val="ListParagraph"/>
        <w:numPr>
          <w:ilvl w:val="0"/>
          <w:numId w:val="25"/>
        </w:numPr>
        <w:tabs>
          <w:tab w:val="left" w:pos="180"/>
        </w:tabs>
        <w:spacing w:line="276" w:lineRule="auto"/>
        <w:ind w:left="714" w:hanging="357"/>
        <w:contextualSpacing w:val="0"/>
        <w:rPr>
          <w:rFonts w:cs="Arial"/>
        </w:rPr>
      </w:pPr>
      <w:r w:rsidRPr="000345E1">
        <w:rPr>
          <w:rFonts w:cs="Arial"/>
        </w:rPr>
        <w:t>za definisanje tehničkih potencijala i moguće proizvodnje drveta za energetske potrebe na levoj strani bilansa, koja predstavlja izvore biomase, pošlo se od podataka o mogućim sečama (etatu) u državnim i privatnim šumama u ovoj opštini na bazi podataka iz nacionalne inventure šuma. Zatim su, na osnovu empirijskih podataka o učešću pojedinih sortimenata u ukupnim sečama, u 2017.</w:t>
      </w:r>
      <w:r>
        <w:rPr>
          <w:rFonts w:cs="Arial"/>
        </w:rPr>
        <w:t xml:space="preserve"> </w:t>
      </w:r>
      <w:r w:rsidRPr="000345E1">
        <w:rPr>
          <w:rFonts w:cs="Arial"/>
        </w:rPr>
        <w:t xml:space="preserve">godini, utvrđene moguće količine tehničkog drveta, ogrevnog drveta i drvnog ostatka nakon seče koji može biti korišćen za energetske potrebe uzevši u obzir da određene količine moraju da ostanu u šumi zbog potreba koje imaju sami šumski ekostsitemi kao i ekonomsku isplativost njihovog sakupljanja i korišćenja. </w:t>
      </w:r>
    </w:p>
    <w:p w:rsidR="00917616" w:rsidRPr="000345E1" w:rsidRDefault="00917616" w:rsidP="00BE4401">
      <w:pPr>
        <w:pStyle w:val="ListParagraph"/>
        <w:numPr>
          <w:ilvl w:val="0"/>
          <w:numId w:val="25"/>
        </w:numPr>
        <w:tabs>
          <w:tab w:val="left" w:pos="180"/>
        </w:tabs>
        <w:overflowPunct/>
        <w:autoSpaceDE/>
        <w:autoSpaceDN/>
        <w:adjustRightInd/>
        <w:spacing w:line="276" w:lineRule="auto"/>
        <w:ind w:left="714" w:hanging="357"/>
        <w:contextualSpacing w:val="0"/>
        <w:textAlignment w:val="auto"/>
        <w:rPr>
          <w:rFonts w:cs="Arial"/>
        </w:rPr>
      </w:pPr>
      <w:r w:rsidRPr="000345E1">
        <w:rPr>
          <w:rFonts w:cs="Arial"/>
        </w:rPr>
        <w:t>potencijali drvne biomase za energiju na površinama obraslim drvećem izvan šuma procenjeni su na bazi njihove zastupljenosti i karakteristika koristeći metodologiju i podatke iz FAO projekta</w:t>
      </w:r>
      <w:r w:rsidRPr="000345E1">
        <w:rPr>
          <w:rStyle w:val="FootnoteReference"/>
          <w:rFonts w:cs="Arial"/>
        </w:rPr>
        <w:footnoteReference w:id="2"/>
      </w:r>
      <w:r w:rsidRPr="000345E1">
        <w:rPr>
          <w:rFonts w:cs="Arial"/>
        </w:rPr>
        <w:t xml:space="preserve"> i Nacionalne inventure šuma;</w:t>
      </w:r>
    </w:p>
    <w:p w:rsidR="00917616" w:rsidRPr="000345E1" w:rsidRDefault="00917616" w:rsidP="00E7415E">
      <w:pPr>
        <w:pStyle w:val="ListParagraph"/>
        <w:numPr>
          <w:ilvl w:val="0"/>
          <w:numId w:val="25"/>
        </w:numPr>
        <w:tabs>
          <w:tab w:val="left" w:pos="180"/>
        </w:tabs>
        <w:overflowPunct/>
        <w:autoSpaceDE/>
        <w:autoSpaceDN/>
        <w:adjustRightInd/>
        <w:spacing w:line="276" w:lineRule="auto"/>
        <w:contextualSpacing w:val="0"/>
        <w:textAlignment w:val="auto"/>
        <w:rPr>
          <w:rFonts w:cs="Arial"/>
        </w:rPr>
      </w:pPr>
      <w:r w:rsidRPr="000345E1">
        <w:rPr>
          <w:rFonts w:cs="Arial"/>
        </w:rPr>
        <w:t>podaci o snabdevanju biomasom za energiju iz industrije dobijeni su na bazi sprovedene ankete o količinama prerađene drvne sirovine u svim najznačajnjim preduzećima u opštini Petrovac na Mlavi i strukture i količine drvnog ostatka (piljevina i krupni ostaci) koji je nastao u toj preradi;</w:t>
      </w:r>
    </w:p>
    <w:p w:rsidR="00917616" w:rsidRPr="000345E1" w:rsidRDefault="00917616" w:rsidP="00E7415E">
      <w:pPr>
        <w:pStyle w:val="ListParagraph"/>
        <w:numPr>
          <w:ilvl w:val="0"/>
          <w:numId w:val="25"/>
        </w:numPr>
        <w:tabs>
          <w:tab w:val="left" w:pos="180"/>
        </w:tabs>
        <w:overflowPunct/>
        <w:autoSpaceDE/>
        <w:autoSpaceDN/>
        <w:adjustRightInd/>
        <w:spacing w:line="276" w:lineRule="auto"/>
        <w:contextualSpacing w:val="0"/>
        <w:textAlignment w:val="auto"/>
        <w:rPr>
          <w:rFonts w:cs="Arial"/>
        </w:rPr>
      </w:pPr>
      <w:r w:rsidRPr="000345E1">
        <w:rPr>
          <w:rFonts w:cs="Arial"/>
        </w:rPr>
        <w:t>podaci o snabdevanju biomasom u formi korišćenih proizvoda od drveta tzv. reciklirano drvo dobijeni su iz ankete domaćinstava;</w:t>
      </w:r>
    </w:p>
    <w:p w:rsidR="00917616" w:rsidRPr="000345E1" w:rsidRDefault="00917616" w:rsidP="00E7415E">
      <w:pPr>
        <w:pStyle w:val="ListParagraph"/>
        <w:numPr>
          <w:ilvl w:val="0"/>
          <w:numId w:val="25"/>
        </w:numPr>
        <w:tabs>
          <w:tab w:val="left" w:pos="180"/>
        </w:tabs>
        <w:overflowPunct/>
        <w:autoSpaceDE/>
        <w:autoSpaceDN/>
        <w:adjustRightInd/>
        <w:spacing w:line="276" w:lineRule="auto"/>
        <w:contextualSpacing w:val="0"/>
        <w:textAlignment w:val="auto"/>
        <w:rPr>
          <w:rFonts w:cs="Arial"/>
        </w:rPr>
      </w:pPr>
      <w:r w:rsidRPr="000345E1">
        <w:rPr>
          <w:rFonts w:cs="Arial"/>
        </w:rPr>
        <w:t>podaci o snabdevanju proizvedenim drvnim gorivima iz industrije dobijeni su na bazi upitnika iz preduzeća koja se bave njihovom proizvodnjom na teritoriji opštine Petrovac na Mlavi.</w:t>
      </w:r>
    </w:p>
    <w:p w:rsidR="00917616" w:rsidRPr="00BE4401" w:rsidRDefault="00917616" w:rsidP="00E7415E">
      <w:pPr>
        <w:tabs>
          <w:tab w:val="left" w:pos="180"/>
        </w:tabs>
        <w:spacing w:line="276" w:lineRule="auto"/>
        <w:rPr>
          <w:rFonts w:cs="Arial"/>
          <w:lang w:val="pl-PL"/>
        </w:rPr>
      </w:pPr>
      <w:r w:rsidRPr="00BE4401">
        <w:rPr>
          <w:rFonts w:cs="Arial"/>
          <w:lang w:val="pl-PL"/>
        </w:rPr>
        <w:t>Kada je u pitanju desna strana bilansa tj. potrošnja biomase pošlo se od sledećeg:</w:t>
      </w:r>
    </w:p>
    <w:p w:rsidR="00917616" w:rsidRPr="00BE4401" w:rsidRDefault="00917616" w:rsidP="00BE4401">
      <w:pPr>
        <w:pStyle w:val="ListParagraph"/>
        <w:numPr>
          <w:ilvl w:val="0"/>
          <w:numId w:val="26"/>
        </w:numPr>
        <w:spacing w:line="276" w:lineRule="auto"/>
        <w:ind w:left="714" w:hanging="357"/>
        <w:contextualSpacing w:val="0"/>
        <w:rPr>
          <w:rFonts w:cs="Arial"/>
          <w:lang w:val="pl-PL"/>
        </w:rPr>
      </w:pPr>
      <w:r w:rsidRPr="00BE4401">
        <w:rPr>
          <w:rFonts w:cs="Arial"/>
          <w:lang w:val="pl-PL"/>
        </w:rPr>
        <w:t>za definisanje potreba za industrijskim drvetom pošlo se od broja i veličine instalisanih kapaciteta u preduzećima za preradu drveta u ovoj opštini. Terensko istraživanje sprovedeno je kod svih aktivnih preduzeća za preradu drveta u cilju prikupljanja podataka o njihovim potrebama za drvetom, strukturi tih potreba, programu proizvodnje, količinama drvnog ostatka i njegovoj nameni, potrošnji drvne biomase za toplotnu energiju za sopstvene potrebe (grejanje prostorija, sušenje i parenje drveta i drugo) i drugih podataka za potrebe izrade ovog bilansa. U okviru ove stavke prikupljeni su podaci o potrošnji drvnih goriva i u drugim industrijama.</w:t>
      </w:r>
    </w:p>
    <w:p w:rsidR="00917616" w:rsidRPr="00BE4401" w:rsidRDefault="00917616" w:rsidP="00BE4401">
      <w:pPr>
        <w:pStyle w:val="ListParagraph"/>
        <w:numPr>
          <w:ilvl w:val="0"/>
          <w:numId w:val="26"/>
        </w:numPr>
        <w:overflowPunct/>
        <w:autoSpaceDE/>
        <w:autoSpaceDN/>
        <w:adjustRightInd/>
        <w:spacing w:line="276" w:lineRule="auto"/>
        <w:ind w:left="714" w:hanging="357"/>
        <w:contextualSpacing w:val="0"/>
        <w:textAlignment w:val="auto"/>
        <w:rPr>
          <w:rFonts w:cs="Arial"/>
          <w:lang w:val="pl-PL"/>
        </w:rPr>
      </w:pPr>
      <w:r w:rsidRPr="00BE4401">
        <w:rPr>
          <w:rFonts w:cs="Arial"/>
          <w:lang w:val="pl-PL"/>
        </w:rPr>
        <w:t>za definisanje potreba za drvnom biomasom proizvođača drvnih goriva (drvna sečka, briket, pelet) sprovedena su terenska istraživanja i metodom ankete prikupljeni podaci o ostavrenoj proizvodnji pojedinih drvnih goriva u 2017. godini i s tim u vezi potrošnji drvne biomase za te potrebe.</w:t>
      </w:r>
    </w:p>
    <w:p w:rsidR="00917616" w:rsidRPr="00BE4401" w:rsidRDefault="00917616" w:rsidP="00E7415E">
      <w:pPr>
        <w:pStyle w:val="ListParagraph"/>
        <w:numPr>
          <w:ilvl w:val="0"/>
          <w:numId w:val="26"/>
        </w:numPr>
        <w:overflowPunct/>
        <w:autoSpaceDE/>
        <w:autoSpaceDN/>
        <w:adjustRightInd/>
        <w:spacing w:line="276" w:lineRule="auto"/>
        <w:contextualSpacing w:val="0"/>
        <w:textAlignment w:val="auto"/>
        <w:rPr>
          <w:rFonts w:cs="Arial"/>
          <w:lang w:val="pl-PL"/>
        </w:rPr>
      </w:pPr>
      <w:r w:rsidRPr="00BE4401">
        <w:rPr>
          <w:rFonts w:cs="Arial"/>
          <w:lang w:val="pl-PL"/>
        </w:rPr>
        <w:t xml:space="preserve">za potrebe sagledavanja potrošnje drvne biomase u formi različitih drvnih goriva u domaćinstvima sprovedeno je anketiranje domaćinstava na uzorku od 2% od broja domaćinstava koja koriste čvrsta goriva za potrebe grejanja. Uzorak je obuhvatio gradska i seoska domaćinstva. </w:t>
      </w:r>
      <w:r w:rsidRPr="00BE4401">
        <w:rPr>
          <w:rFonts w:cs="Arial"/>
          <w:szCs w:val="24"/>
          <w:lang w:val="pl-PL"/>
        </w:rPr>
        <w:t xml:space="preserve">Broj domaćinstava koja koriste čvrsta goriva za grejanje (drvo, briket, pelet, ugalj i njihove kombinacije) je dobijen kada je od ukupnog broja domaćinstava u ovoj opštini oduzet broj domaćinstava koja koriste sistem daljinskog grejanja, električnu energiju, lož ulje i druge energente koji ne spadaju u kategoriju čvrstih goriva. </w:t>
      </w:r>
    </w:p>
    <w:p w:rsidR="00917616" w:rsidRPr="00BE4401" w:rsidRDefault="00917616" w:rsidP="00E7415E">
      <w:pPr>
        <w:pStyle w:val="ListParagraph"/>
        <w:numPr>
          <w:ilvl w:val="0"/>
          <w:numId w:val="26"/>
        </w:numPr>
        <w:overflowPunct/>
        <w:autoSpaceDE/>
        <w:autoSpaceDN/>
        <w:adjustRightInd/>
        <w:spacing w:line="276" w:lineRule="auto"/>
        <w:contextualSpacing w:val="0"/>
        <w:textAlignment w:val="auto"/>
        <w:rPr>
          <w:rFonts w:cs="Arial"/>
          <w:lang w:val="pl-PL"/>
        </w:rPr>
      </w:pPr>
      <w:r w:rsidRPr="00BE4401">
        <w:rPr>
          <w:rFonts w:cs="Arial"/>
          <w:lang w:val="pl-PL"/>
        </w:rPr>
        <w:t>potrošnja drvnih goriva u komercijalnim objektima (restorani, kafane, hoteli, pekare, pečenjare, auto servisi, prodavnice i drugi objekti) dobijena je na bazi podataka koji su prikupljeni tokom posete i anketiranja osoblja u tim objektima. Pri tom anketa je obuhvatila samo one objekte koji koriste drvna goriva u gradskoj sredini i u onim seoskim sredinama u kojima je vršeno anketiranje domaćinstava.</w:t>
      </w:r>
    </w:p>
    <w:p w:rsidR="00917616" w:rsidRPr="00BE4401" w:rsidRDefault="00917616" w:rsidP="00E7415E">
      <w:pPr>
        <w:pStyle w:val="ListParagraph"/>
        <w:numPr>
          <w:ilvl w:val="0"/>
          <w:numId w:val="26"/>
        </w:numPr>
        <w:overflowPunct/>
        <w:autoSpaceDE/>
        <w:autoSpaceDN/>
        <w:adjustRightInd/>
        <w:spacing w:line="276" w:lineRule="auto"/>
        <w:contextualSpacing w:val="0"/>
        <w:textAlignment w:val="auto"/>
        <w:rPr>
          <w:rFonts w:cs="Arial"/>
          <w:lang w:val="pl-PL"/>
        </w:rPr>
      </w:pPr>
      <w:r w:rsidRPr="00BE4401">
        <w:rPr>
          <w:rFonts w:cs="Arial"/>
          <w:lang w:val="pl-PL"/>
        </w:rPr>
        <w:t>potrošnja drvnih goriva u objektima od javnog značaja kao što su predškolske ustanove, osnovne i srednje škole, objekti lokalne samouprave, objekti policije, komunalnih preduzeća, sudstva i tužilaštva, šumske uprave, zdravstva i drugih objekata od javnog značaja dobijeni su iz stručnih službi opštine, direktora službi ili rukovodilaca pojedinih državnih organa;</w:t>
      </w:r>
    </w:p>
    <w:p w:rsidR="00917616" w:rsidRPr="00BE4401" w:rsidRDefault="00917616" w:rsidP="00E7415E">
      <w:pPr>
        <w:spacing w:line="276" w:lineRule="auto"/>
        <w:rPr>
          <w:rFonts w:cs="Arial"/>
          <w:lang w:val="pl-PL"/>
        </w:rPr>
      </w:pPr>
      <w:r w:rsidRPr="00BE4401">
        <w:rPr>
          <w:rFonts w:cs="Arial"/>
          <w:lang w:val="pl-PL"/>
        </w:rPr>
        <w:t>Sva istraživanja su rađena za 2017. godinu i odnose se na presek stanja u toj godini.</w:t>
      </w:r>
    </w:p>
    <w:p w:rsidR="00917616" w:rsidRPr="00BE4401" w:rsidRDefault="00917616" w:rsidP="00E7415E">
      <w:pPr>
        <w:spacing w:line="276" w:lineRule="auto"/>
        <w:ind w:left="720" w:hanging="180"/>
        <w:rPr>
          <w:rFonts w:cs="Arial"/>
          <w:lang w:val="pl-PL"/>
        </w:rPr>
      </w:pPr>
    </w:p>
    <w:p w:rsidR="00917616" w:rsidRPr="00BE4401" w:rsidRDefault="00917616" w:rsidP="00E7415E">
      <w:pPr>
        <w:spacing w:line="276" w:lineRule="auto"/>
        <w:rPr>
          <w:rFonts w:cs="Arial"/>
          <w:lang w:val="it-IT"/>
        </w:rPr>
      </w:pPr>
      <w:r w:rsidRPr="00BE4401">
        <w:rPr>
          <w:rFonts w:cs="Arial"/>
          <w:lang w:val="it-IT"/>
        </w:rPr>
        <w:t>Rezultati sprovedenih istraživanja su predstavljeni u nastavku.</w:t>
      </w:r>
    </w:p>
    <w:p w:rsidR="00917616" w:rsidRPr="00BE4401" w:rsidRDefault="00917616" w:rsidP="00E7415E">
      <w:pPr>
        <w:spacing w:line="276" w:lineRule="auto"/>
        <w:rPr>
          <w:rFonts w:cs="Arial"/>
          <w:szCs w:val="24"/>
          <w:lang w:val="it-IT"/>
        </w:rPr>
      </w:pPr>
    </w:p>
    <w:p w:rsidR="00917616" w:rsidRPr="001018A1" w:rsidRDefault="00917616" w:rsidP="00E7415E">
      <w:pPr>
        <w:spacing w:line="276" w:lineRule="auto"/>
        <w:jc w:val="center"/>
        <w:rPr>
          <w:rFonts w:cs="Arial"/>
          <w:szCs w:val="24"/>
        </w:rPr>
      </w:pPr>
      <w:r w:rsidRPr="00F21910">
        <w:rPr>
          <w:rFonts w:cs="Arial"/>
          <w:szCs w:val="24"/>
        </w:rPr>
        <w:t xml:space="preserve">Tabela 1: </w:t>
      </w:r>
      <w:r w:rsidRPr="000345E1">
        <w:rPr>
          <w:rFonts w:cs="Arial"/>
          <w:szCs w:val="24"/>
        </w:rPr>
        <w:t>Bilans drvne bi</w:t>
      </w:r>
      <w:r>
        <w:rPr>
          <w:rFonts w:cs="Arial"/>
          <w:szCs w:val="24"/>
        </w:rPr>
        <w:t>omase opštine Petrovac na Mlavi</w:t>
      </w:r>
    </w:p>
    <w:p w:rsidR="00917616" w:rsidRPr="000345E1" w:rsidRDefault="00917616" w:rsidP="00E7415E">
      <w:pPr>
        <w:spacing w:line="276" w:lineRule="auto"/>
        <w:rPr>
          <w:noProof/>
          <w:szCs w:val="24"/>
        </w:rPr>
      </w:pPr>
      <w:r w:rsidRPr="007D6E9D">
        <w:rPr>
          <w:noProof/>
          <w:szCs w:val="24"/>
          <w:lang w:val="sr-Latn-CS" w:eastAsia="sr-Latn-CS"/>
        </w:rPr>
        <w:pict>
          <v:shape id="Picture 2" o:spid="_x0000_i1026" type="#_x0000_t75" style="width:465pt;height:344.25pt;visibility:visible">
            <v:imagedata r:id="rId9" o:title=""/>
          </v:shape>
        </w:pict>
      </w:r>
    </w:p>
    <w:p w:rsidR="00917616" w:rsidRDefault="00917616" w:rsidP="00E7415E">
      <w:pPr>
        <w:spacing w:line="276" w:lineRule="auto"/>
        <w:rPr>
          <w:rFonts w:cs="Arial"/>
          <w:szCs w:val="24"/>
        </w:rPr>
      </w:pPr>
    </w:p>
    <w:p w:rsidR="00917616" w:rsidRPr="00BE4401" w:rsidRDefault="00917616" w:rsidP="00E7415E">
      <w:pPr>
        <w:spacing w:line="276" w:lineRule="auto"/>
        <w:rPr>
          <w:rFonts w:cs="Arial"/>
          <w:szCs w:val="24"/>
          <w:lang w:val="pl-PL"/>
        </w:rPr>
      </w:pPr>
      <w:r w:rsidRPr="00BE4401">
        <w:rPr>
          <w:rFonts w:cs="Arial"/>
          <w:szCs w:val="24"/>
          <w:lang w:val="pl-PL"/>
        </w:rPr>
        <w:t>Ukupni tehnički potencijali biomase (za industrijsku preradu i energiju) u opštini Petrovac na Mlavi iznose 58.568 m</w:t>
      </w:r>
      <w:r w:rsidRPr="00BE4401">
        <w:rPr>
          <w:rFonts w:cs="Arial"/>
          <w:szCs w:val="24"/>
          <w:vertAlign w:val="superscript"/>
          <w:lang w:val="pl-PL"/>
        </w:rPr>
        <w:t>3</w:t>
      </w:r>
      <w:r w:rsidRPr="00BE4401">
        <w:rPr>
          <w:rFonts w:cs="Arial"/>
          <w:szCs w:val="24"/>
          <w:lang w:val="pl-PL"/>
        </w:rPr>
        <w:t xml:space="preserve"> od čega samo za energiju 48.799 m</w:t>
      </w:r>
      <w:r w:rsidRPr="00BE4401">
        <w:rPr>
          <w:rFonts w:cs="Arial"/>
          <w:szCs w:val="24"/>
          <w:vertAlign w:val="superscript"/>
          <w:lang w:val="pl-PL"/>
        </w:rPr>
        <w:t>3</w:t>
      </w:r>
      <w:r w:rsidRPr="00BE4401">
        <w:rPr>
          <w:rFonts w:cs="Arial"/>
          <w:szCs w:val="24"/>
          <w:lang w:val="pl-PL"/>
        </w:rPr>
        <w:t>. Najznačajniji izvor biomase za energiju su šume (ogrevno drvo i ostaci posle seče) sa učešćem od 75,53%, a slede drvna goriva (proizvodnja peleta) sa učešćem od 15,74% i biomasa iz industrijske prerade drveta (krupni i sitni drvni ostaci sa pilana i iz drugih preduzeća za preradu drveta) sa učešćem od 6,10%. Biomasa koja potiče sa površina obraslim drvećem koje se ne smatraju šumom učestvuje sa 4,63%.</w:t>
      </w:r>
    </w:p>
    <w:p w:rsidR="00917616" w:rsidRPr="00BE4401" w:rsidRDefault="00917616" w:rsidP="00E7415E">
      <w:pPr>
        <w:spacing w:line="276" w:lineRule="auto"/>
        <w:rPr>
          <w:rFonts w:cs="Arial"/>
          <w:szCs w:val="24"/>
          <w:lang w:val="pl-PL"/>
        </w:rPr>
      </w:pPr>
      <w:r w:rsidRPr="00BE4401">
        <w:rPr>
          <w:rFonts w:cs="Arial"/>
          <w:szCs w:val="24"/>
          <w:lang w:val="pl-PL"/>
        </w:rPr>
        <w:t>Industrijska prerada drveta u opštini Petrovac na Mlavi nije razvijena posmatrano po broju preduzeća i po strukturi proizvodnje jer opština ne raspolaže značajnijim tehničkim potencijalima industrijske oblovine. Industrijska prerada drveta je najviše bazirana na pilanskoj preradi drveta koja godišnje preradi oko 2 hiljade m</w:t>
      </w:r>
      <w:r w:rsidRPr="00BE4401">
        <w:rPr>
          <w:rFonts w:cs="Arial"/>
          <w:szCs w:val="24"/>
          <w:vertAlign w:val="superscript"/>
          <w:lang w:val="pl-PL"/>
        </w:rPr>
        <w:t>3</w:t>
      </w:r>
      <w:r w:rsidRPr="00BE4401">
        <w:rPr>
          <w:rFonts w:cs="Arial"/>
          <w:szCs w:val="24"/>
          <w:lang w:val="pl-PL"/>
        </w:rPr>
        <w:t xml:space="preserve"> industrijske oblovine. Najveći broj preduzeća koja se bave pilanskom preradom drveta su sa malim kapacitetima. Drvni ostatak koji nastaje u industriji za preradu drveta se jednim delom koristi za interne potrebe preduzeća, a njavećim delom se prerađuje u drvnu sečku i prodaje preduzećima izvan ove opštine. Od ostalih vidova proizvodnje izdvajaju se preduzeća koja proizvode nameštaj i građevinsku stolariju. Međutim, njihov broj je mali kao i kapaciteti i obim proizvodnje tako da u toj proizvodnji nastaju relativno male količine drvnih ostataka.</w:t>
      </w:r>
    </w:p>
    <w:p w:rsidR="00917616" w:rsidRPr="00BE4401" w:rsidRDefault="00917616" w:rsidP="00E7415E">
      <w:pPr>
        <w:spacing w:line="276" w:lineRule="auto"/>
        <w:rPr>
          <w:rFonts w:cs="Arial"/>
          <w:szCs w:val="24"/>
          <w:lang w:val="pl-PL"/>
        </w:rPr>
      </w:pPr>
      <w:r w:rsidRPr="00BE4401">
        <w:rPr>
          <w:rFonts w:cs="Arial"/>
          <w:szCs w:val="24"/>
          <w:lang w:val="pl-PL"/>
        </w:rPr>
        <w:t>Kada je u pitanju proizvodnja i prodaja ogrevnog drveta iz državnih šuma se godišnje proizvede ispod 7 hiljada m</w:t>
      </w:r>
      <w:r w:rsidRPr="00BE4401">
        <w:rPr>
          <w:rFonts w:cs="Arial"/>
          <w:szCs w:val="24"/>
          <w:vertAlign w:val="superscript"/>
          <w:lang w:val="pl-PL"/>
        </w:rPr>
        <w:t>3</w:t>
      </w:r>
      <w:r w:rsidRPr="00BE4401">
        <w:rPr>
          <w:rFonts w:cs="Arial"/>
          <w:szCs w:val="24"/>
          <w:lang w:val="pl-PL"/>
        </w:rPr>
        <w:t xml:space="preserve"> dok su potrebe opštine veće skoro deset puta. To je jedan od razloga zbog čega se najveći broj domaćinstava, posebno u gradskoj sredini, u ovoj opštini snabdeva ogrevnim drvetom koje prodaju trgovci drvetom, a koje potiče izvan ove opštine. </w:t>
      </w:r>
    </w:p>
    <w:p w:rsidR="00917616" w:rsidRPr="00BE4401" w:rsidRDefault="00917616" w:rsidP="00E7415E">
      <w:pPr>
        <w:spacing w:line="276" w:lineRule="auto"/>
        <w:rPr>
          <w:rFonts w:cs="Arial"/>
          <w:szCs w:val="24"/>
          <w:lang w:val="pl-PL"/>
        </w:rPr>
      </w:pPr>
      <w:r w:rsidRPr="00BE4401">
        <w:rPr>
          <w:rFonts w:cs="Arial"/>
          <w:szCs w:val="24"/>
          <w:lang w:val="pl-PL"/>
        </w:rPr>
        <w:t>Sprovedene kalkulacije potrošnje biomase za energiju pokazuju da je njena ukupna potrošnja u 2017. godini iznosila 86.595 m</w:t>
      </w:r>
      <w:r w:rsidRPr="00BE4401">
        <w:rPr>
          <w:rFonts w:cs="Arial"/>
          <w:szCs w:val="24"/>
          <w:vertAlign w:val="superscript"/>
          <w:lang w:val="pl-PL"/>
        </w:rPr>
        <w:t>3</w:t>
      </w:r>
      <w:r w:rsidRPr="00BE4401">
        <w:rPr>
          <w:rFonts w:cs="Arial"/>
          <w:szCs w:val="24"/>
          <w:lang w:val="pl-PL"/>
        </w:rPr>
        <w:t xml:space="preserve"> ili za 1,8 puta više u odnosu na tehničke potencijale za energiju sa kojima raspolaže opština Petrovac na Mlavi. </w:t>
      </w:r>
    </w:p>
    <w:p w:rsidR="00917616" w:rsidRPr="00BE4401" w:rsidRDefault="00917616" w:rsidP="00E7415E">
      <w:pPr>
        <w:spacing w:line="276" w:lineRule="auto"/>
        <w:rPr>
          <w:rFonts w:cs="Arial"/>
          <w:szCs w:val="24"/>
          <w:lang w:val="pl-PL"/>
        </w:rPr>
      </w:pPr>
      <w:r w:rsidRPr="00BE4401">
        <w:rPr>
          <w:rFonts w:cs="Arial"/>
          <w:szCs w:val="24"/>
          <w:lang w:val="pl-PL"/>
        </w:rPr>
        <w:t>U strukturi potrošnje biomase za energiju dominantno učešće imaju domaćinstva. U 2017. godini u domaćinstvima u opštini Petrovac na Mlavi potrošeno je 85.697 m</w:t>
      </w:r>
      <w:r w:rsidRPr="00BE4401">
        <w:rPr>
          <w:rFonts w:cs="Arial"/>
          <w:szCs w:val="24"/>
          <w:vertAlign w:val="superscript"/>
          <w:lang w:val="pl-PL"/>
        </w:rPr>
        <w:t>3</w:t>
      </w:r>
      <w:r w:rsidRPr="00BE4401">
        <w:rPr>
          <w:rFonts w:cs="Arial"/>
          <w:szCs w:val="24"/>
          <w:lang w:val="pl-PL"/>
        </w:rPr>
        <w:t xml:space="preserve"> drvne biomase (najviše u formi ogrevnog drveta) što je predstavljalo 99% u odnosu na ukupnu potrošnju biomase za energetske potrebe. </w:t>
      </w:r>
    </w:p>
    <w:p w:rsidR="00917616" w:rsidRPr="00BE4401" w:rsidRDefault="00917616" w:rsidP="00E7415E">
      <w:pPr>
        <w:spacing w:line="276" w:lineRule="auto"/>
        <w:rPr>
          <w:rFonts w:cs="Arial"/>
          <w:szCs w:val="24"/>
          <w:lang w:val="pl-PL"/>
        </w:rPr>
      </w:pPr>
      <w:r w:rsidRPr="00BE4401">
        <w:rPr>
          <w:rFonts w:cs="Arial"/>
          <w:szCs w:val="24"/>
          <w:lang w:val="pl-PL"/>
        </w:rPr>
        <w:t>U oko 96% domaćinstava u opštini Petrovac na Mlavi, u kojima se koriste čvrsta goriva za potrebe grejanja, koristi se ogrevno drvo kao glavno gorivo samostalno (75%) ili u kombinaciji sa ugljem (19,6%), drvnim peletom (0,6%), električnom energijom (0,6%) i lož uljem (0,6%) (grafikon 1). Drvni pelet kao gorivo novije generacije zastupljeno je kao samostalno gorivo u svega 3,6% domaćinstava, a u kombinaciji sa drvetom u 0,6% domaćinstava. Međutim, imajući u vidu sve prednosti koje pruža drvni pelet kao gorivo realno je očekivati da će njegova potrošnja rasti u narednim godinama.</w:t>
      </w:r>
    </w:p>
    <w:p w:rsidR="00917616" w:rsidRPr="00BE4401" w:rsidRDefault="00917616" w:rsidP="00E7415E">
      <w:pPr>
        <w:spacing w:line="276" w:lineRule="auto"/>
        <w:rPr>
          <w:rFonts w:cs="Arial"/>
          <w:szCs w:val="24"/>
          <w:lang w:val="pl-PL"/>
        </w:rPr>
      </w:pPr>
    </w:p>
    <w:p w:rsidR="00917616" w:rsidRPr="000345E1" w:rsidRDefault="00917616" w:rsidP="00E7415E">
      <w:pPr>
        <w:spacing w:line="276" w:lineRule="auto"/>
        <w:jc w:val="center"/>
        <w:rPr>
          <w:rFonts w:cs="Arial"/>
          <w:szCs w:val="24"/>
        </w:rPr>
      </w:pPr>
      <w:r w:rsidRPr="007D6E9D">
        <w:rPr>
          <w:noProof/>
          <w:szCs w:val="24"/>
          <w:lang w:val="sr-Latn-CS" w:eastAsia="sr-Latn-CS"/>
        </w:rPr>
        <w:pict>
          <v:shape id="Picture 3" o:spid="_x0000_i1027" type="#_x0000_t75" style="width:331.5pt;height:201.75pt;visibility:visible">
            <v:imagedata r:id="rId10" o:title="" croptop="2173f" cropbottom="9459f" cropleft="4669f" cropright="2327f"/>
          </v:shape>
        </w:pict>
      </w:r>
    </w:p>
    <w:p w:rsidR="00917616" w:rsidRPr="000345E1" w:rsidRDefault="00917616" w:rsidP="00E7415E">
      <w:pPr>
        <w:spacing w:line="276" w:lineRule="auto"/>
        <w:rPr>
          <w:rFonts w:cs="Arial"/>
          <w:szCs w:val="24"/>
        </w:rPr>
      </w:pPr>
    </w:p>
    <w:p w:rsidR="00917616" w:rsidRPr="00F21910" w:rsidRDefault="00917616" w:rsidP="00E7415E">
      <w:pPr>
        <w:spacing w:line="276" w:lineRule="auto"/>
        <w:jc w:val="center"/>
        <w:rPr>
          <w:rFonts w:cs="Arial"/>
          <w:szCs w:val="24"/>
        </w:rPr>
      </w:pPr>
      <w:r w:rsidRPr="00F21910">
        <w:rPr>
          <w:rFonts w:cs="Arial"/>
          <w:szCs w:val="24"/>
        </w:rPr>
        <w:t>Grafikon 1: Zastupljenost pojedinih drvnih goriva u potrošnji domaćinstava u opštini Petrovac na Mlavi</w:t>
      </w:r>
    </w:p>
    <w:p w:rsidR="00917616" w:rsidRPr="00F21910" w:rsidRDefault="00917616" w:rsidP="00E7415E">
      <w:pPr>
        <w:spacing w:line="276" w:lineRule="auto"/>
        <w:rPr>
          <w:rFonts w:cs="Arial"/>
          <w:szCs w:val="24"/>
        </w:rPr>
      </w:pPr>
    </w:p>
    <w:p w:rsidR="00917616" w:rsidRPr="000345E1" w:rsidRDefault="00917616" w:rsidP="00E7415E">
      <w:pPr>
        <w:spacing w:line="276" w:lineRule="auto"/>
        <w:rPr>
          <w:rFonts w:cs="Arial"/>
          <w:szCs w:val="24"/>
        </w:rPr>
      </w:pPr>
      <w:r w:rsidRPr="000345E1">
        <w:rPr>
          <w:rFonts w:cs="Arial"/>
          <w:szCs w:val="24"/>
        </w:rPr>
        <w:t>Prosečna potrošnja ogrevnog drveta po domaćinstvu u grejnoj sezoni 2017/2018. iznosila je 9,78 m</w:t>
      </w:r>
      <w:r w:rsidRPr="000345E1">
        <w:rPr>
          <w:rFonts w:cs="Arial"/>
          <w:szCs w:val="24"/>
          <w:vertAlign w:val="superscript"/>
        </w:rPr>
        <w:t>3</w:t>
      </w:r>
      <w:r w:rsidRPr="000345E1">
        <w:rPr>
          <w:rFonts w:cs="Arial"/>
          <w:szCs w:val="24"/>
        </w:rPr>
        <w:t>. Preračunato u energetske vrednosti i grejnu površinu prosečna potrošnja drvne energije u kWh po jedinici grejne površine iznosila je 365 kWh/m</w:t>
      </w:r>
      <w:r w:rsidRPr="000345E1">
        <w:rPr>
          <w:rFonts w:cs="Arial"/>
          <w:szCs w:val="24"/>
          <w:vertAlign w:val="superscript"/>
        </w:rPr>
        <w:t>2</w:t>
      </w:r>
      <w:r w:rsidRPr="000345E1">
        <w:rPr>
          <w:rFonts w:cs="Arial"/>
          <w:szCs w:val="24"/>
        </w:rPr>
        <w:t>. Ova vrednost je za oko 2,6 puta veća u odnosu na prosečnu potrošnju energije od 138 kWh/m</w:t>
      </w:r>
      <w:r w:rsidRPr="000345E1">
        <w:rPr>
          <w:rFonts w:cs="Arial"/>
          <w:szCs w:val="24"/>
          <w:vertAlign w:val="superscript"/>
        </w:rPr>
        <w:t xml:space="preserve">2 </w:t>
      </w:r>
      <w:r w:rsidRPr="000345E1">
        <w:rPr>
          <w:rStyle w:val="FootnoteReference"/>
          <w:rFonts w:cs="Arial"/>
          <w:szCs w:val="24"/>
        </w:rPr>
        <w:footnoteReference w:id="3"/>
      </w:r>
      <w:r w:rsidRPr="000345E1">
        <w:rPr>
          <w:rFonts w:cs="Arial"/>
          <w:szCs w:val="24"/>
        </w:rPr>
        <w:t>, koja se smatra zadovoljavajućom sa stanovišta energestske efikasnosti. Kada su u pitanju lanci snabdevanja, ona domaćinstava u gradskoj sredini koja nemaju svoju šumu snabdevaju se od trgovaca drvetom, dok se seoska domaćinstva najvećim delom snabdevaju iz svojih šuma.</w:t>
      </w:r>
    </w:p>
    <w:p w:rsidR="00917616" w:rsidRPr="000345E1" w:rsidRDefault="00917616" w:rsidP="00E7415E">
      <w:pPr>
        <w:spacing w:line="276" w:lineRule="auto"/>
        <w:rPr>
          <w:rFonts w:cs="Arial"/>
          <w:szCs w:val="24"/>
        </w:rPr>
      </w:pPr>
      <w:r w:rsidRPr="000345E1">
        <w:rPr>
          <w:rFonts w:cs="Arial"/>
          <w:szCs w:val="24"/>
        </w:rPr>
        <w:t xml:space="preserve">Potrošnja drvne biomase u komercijalnim objektima i za interne potrebe industrije je simbolična i učestvuje sa 0,1% odnosno sa 0,73% u ukupnoj potrošnji biomase u ovoj opštini. </w:t>
      </w:r>
    </w:p>
    <w:p w:rsidR="00917616" w:rsidRPr="000345E1" w:rsidRDefault="00917616" w:rsidP="00E7415E">
      <w:pPr>
        <w:spacing w:line="276" w:lineRule="auto"/>
        <w:rPr>
          <w:rFonts w:cs="Arial"/>
          <w:szCs w:val="24"/>
        </w:rPr>
      </w:pPr>
      <w:r w:rsidRPr="000345E1">
        <w:rPr>
          <w:rFonts w:cs="Arial"/>
          <w:szCs w:val="24"/>
        </w:rPr>
        <w:t>Kada su u pitanju objekti od javnog značaja situacija u opštini Petrovac na Mlavi je takva da je  najveći broj objekata priključen na sistem daljinskog grejanja. Jedini objekat koji koristi drvna goriva je parking servis u čijem objektu se koriste drvne pelete. Ogrevno drvo u kombinaciji sa uglj</w:t>
      </w:r>
      <w:r>
        <w:rPr>
          <w:rFonts w:cs="Arial"/>
          <w:szCs w:val="24"/>
        </w:rPr>
        <w:t>e</w:t>
      </w:r>
      <w:r w:rsidRPr="000345E1">
        <w:rPr>
          <w:rFonts w:cs="Arial"/>
          <w:szCs w:val="24"/>
        </w:rPr>
        <w:t xml:space="preserve">m se koristi u objektima seoskih škola i ponekoj mesnoj kancelariji. U objektima Kulturnog centra i Šumske uprave koristi se </w:t>
      </w:r>
      <w:r>
        <w:rPr>
          <w:rFonts w:cs="Arial"/>
          <w:szCs w:val="24"/>
        </w:rPr>
        <w:t>električna energija</w:t>
      </w:r>
      <w:r w:rsidRPr="000345E1">
        <w:rPr>
          <w:rFonts w:cs="Arial"/>
          <w:szCs w:val="24"/>
        </w:rPr>
        <w:t xml:space="preserve">, a u objektima Sportskog centra TNG. Gradska toplana koristi mazut iako poseduje kompletnu infrastrukturu za dopremanje i korišćenje drvne sečke. </w:t>
      </w:r>
    </w:p>
    <w:p w:rsidR="00917616" w:rsidRPr="000345E1" w:rsidRDefault="00917616" w:rsidP="00E7415E">
      <w:pPr>
        <w:spacing w:line="276" w:lineRule="auto"/>
        <w:rPr>
          <w:rFonts w:cs="Arial"/>
          <w:szCs w:val="24"/>
        </w:rPr>
      </w:pPr>
      <w:r w:rsidRPr="000345E1">
        <w:rPr>
          <w:rFonts w:cs="Arial"/>
          <w:szCs w:val="24"/>
        </w:rPr>
        <w:t>Ukupna potrošnja ogrevnog drveta u svim školskim objektima u grejnoj sezoni 2017/2018. iznosila je 182 m</w:t>
      </w:r>
      <w:r w:rsidRPr="000345E1">
        <w:rPr>
          <w:rFonts w:cs="Arial"/>
          <w:szCs w:val="24"/>
          <w:vertAlign w:val="superscript"/>
        </w:rPr>
        <w:t>3</w:t>
      </w:r>
      <w:r w:rsidRPr="000345E1">
        <w:rPr>
          <w:rFonts w:cs="Arial"/>
          <w:szCs w:val="24"/>
        </w:rPr>
        <w:t xml:space="preserve">, uglja 329 tona i mazuta 17 tona. </w:t>
      </w:r>
    </w:p>
    <w:p w:rsidR="00917616" w:rsidRDefault="00917616" w:rsidP="00E7415E">
      <w:pPr>
        <w:spacing w:line="276" w:lineRule="auto"/>
        <w:rPr>
          <w:rFonts w:cs="Arial"/>
          <w:szCs w:val="24"/>
        </w:rPr>
      </w:pPr>
    </w:p>
    <w:p w:rsidR="00917616" w:rsidRDefault="00917616" w:rsidP="00E7415E">
      <w:pPr>
        <w:spacing w:line="276" w:lineRule="auto"/>
        <w:rPr>
          <w:rFonts w:cs="Arial"/>
          <w:szCs w:val="24"/>
        </w:rPr>
      </w:pPr>
    </w:p>
    <w:p w:rsidR="00917616" w:rsidRPr="000345E1" w:rsidRDefault="00917616" w:rsidP="00E7415E">
      <w:pPr>
        <w:spacing w:line="276" w:lineRule="auto"/>
        <w:rPr>
          <w:b/>
          <w:i/>
        </w:rPr>
      </w:pPr>
      <w:r w:rsidRPr="000345E1">
        <w:rPr>
          <w:b/>
          <w:i/>
        </w:rPr>
        <w:t>ZAKLJUČAK</w:t>
      </w:r>
    </w:p>
    <w:p w:rsidR="00917616" w:rsidRPr="000345E1" w:rsidRDefault="00917616" w:rsidP="00E7415E">
      <w:pPr>
        <w:spacing w:line="276" w:lineRule="auto"/>
        <w:rPr>
          <w:rFonts w:cs="Arial"/>
          <w:szCs w:val="24"/>
        </w:rPr>
      </w:pPr>
    </w:p>
    <w:p w:rsidR="00917616" w:rsidRPr="00BE4401" w:rsidRDefault="00917616" w:rsidP="00E7415E">
      <w:pPr>
        <w:spacing w:line="276" w:lineRule="auto"/>
        <w:rPr>
          <w:rFonts w:cs="Arial"/>
          <w:szCs w:val="24"/>
          <w:lang w:val="pl-PL"/>
        </w:rPr>
      </w:pPr>
      <w:r w:rsidRPr="000345E1">
        <w:rPr>
          <w:rFonts w:cs="Arial"/>
          <w:szCs w:val="24"/>
        </w:rPr>
        <w:t>Analiza podataka iz bilansa pokazuje da opština Petrovac na Mlavi ima negativan bilans drvne biomase za energetske potrebe u iznosu od 37.795 m</w:t>
      </w:r>
      <w:r w:rsidRPr="000345E1">
        <w:rPr>
          <w:rFonts w:cs="Arial"/>
          <w:szCs w:val="24"/>
          <w:vertAlign w:val="superscript"/>
        </w:rPr>
        <w:t>3</w:t>
      </w:r>
      <w:r w:rsidRPr="000345E1">
        <w:rPr>
          <w:rFonts w:cs="Arial"/>
          <w:szCs w:val="24"/>
        </w:rPr>
        <w:t xml:space="preserve">. </w:t>
      </w:r>
      <w:r w:rsidRPr="00BE4401">
        <w:rPr>
          <w:rFonts w:cs="Arial"/>
          <w:szCs w:val="24"/>
          <w:lang w:val="pl-PL"/>
        </w:rPr>
        <w:t>Negativan je i ukupan bilans biomase u iznosu od 50.755 m</w:t>
      </w:r>
      <w:r w:rsidRPr="00BE4401">
        <w:rPr>
          <w:rFonts w:cs="Arial"/>
          <w:szCs w:val="24"/>
          <w:vertAlign w:val="superscript"/>
          <w:lang w:val="pl-PL"/>
        </w:rPr>
        <w:t>3</w:t>
      </w:r>
      <w:r w:rsidRPr="00BE4401">
        <w:rPr>
          <w:rFonts w:cs="Arial"/>
          <w:szCs w:val="24"/>
          <w:lang w:val="pl-PL"/>
        </w:rPr>
        <w:t xml:space="preserve"> (razlika u odnosu na bilans biomase za energiju je tehničko drvo).</w:t>
      </w:r>
    </w:p>
    <w:p w:rsidR="00917616" w:rsidRPr="00BE4401" w:rsidRDefault="00917616" w:rsidP="00E7415E">
      <w:pPr>
        <w:spacing w:line="276" w:lineRule="auto"/>
        <w:rPr>
          <w:rFonts w:cs="Arial"/>
          <w:szCs w:val="24"/>
          <w:lang w:val="pl-PL"/>
        </w:rPr>
      </w:pPr>
      <w:r w:rsidRPr="00BE4401">
        <w:rPr>
          <w:rFonts w:cs="Arial"/>
          <w:szCs w:val="24"/>
          <w:lang w:val="pl-PL"/>
        </w:rPr>
        <w:t>Imajući u vidu da opština nabavlja oko 17 tona mazuta kao i velike količine uglja za grejanje objekata seoskih škola, preporuka je da se umesto lož ulja i uglja izvrši postepeno prevođenje tih objekata na drvna goriva pri čemu bi se ista nabavljala kao goriva ekološkog karaktera koja su značajnijo jeftinija, ekološki prihvatljiva i dostupna za nabavku. U opštini se nalaze jedna velika fabrika drvnih peleta i jedan proizvođač drvne sečke koji imaju interes da se uključe u lanac snabdevanja drvnim gorivima objekata od javnog značaja. Ovo tim pre što opština planira da izgradi još jednu gradsku toplanu na lokaciji gradske bolnice na koju bi, pored objekata medicinskog centra, bili priključeni objekti gimnazije i dečijeg vrtića.</w:t>
      </w:r>
    </w:p>
    <w:p w:rsidR="00917616" w:rsidRPr="00BE4401" w:rsidRDefault="00917616" w:rsidP="00E7415E">
      <w:pPr>
        <w:spacing w:line="276" w:lineRule="auto"/>
        <w:rPr>
          <w:rFonts w:cs="Arial"/>
          <w:szCs w:val="24"/>
          <w:lang w:val="pl-PL"/>
        </w:rPr>
      </w:pPr>
      <w:r w:rsidRPr="00BE4401">
        <w:rPr>
          <w:rFonts w:cs="Arial"/>
          <w:szCs w:val="24"/>
          <w:lang w:val="pl-PL"/>
        </w:rPr>
        <w:t>Kada se uzmu u obzir ukupni troškovi nabavke mazuta i uglja kao i činjenica da se svake godine u atmosferu emituju velike količine CO</w:t>
      </w:r>
      <w:r w:rsidRPr="00BE4401">
        <w:rPr>
          <w:rFonts w:cs="Arial"/>
          <w:szCs w:val="24"/>
          <w:vertAlign w:val="subscript"/>
          <w:lang w:val="pl-PL"/>
        </w:rPr>
        <w:t>2</w:t>
      </w:r>
      <w:r w:rsidRPr="00BE4401">
        <w:rPr>
          <w:rFonts w:cs="Arial"/>
          <w:szCs w:val="24"/>
          <w:lang w:val="pl-PL"/>
        </w:rPr>
        <w:t xml:space="preserve"> njihovim sagorevanjem to postoje svi opravdani razlozi za konverziju ovih fosilnih goriva sa biomasom.</w:t>
      </w:r>
    </w:p>
    <w:p w:rsidR="00917616" w:rsidRPr="00BE4401" w:rsidRDefault="00917616" w:rsidP="00E7415E">
      <w:pPr>
        <w:spacing w:line="276" w:lineRule="auto"/>
        <w:rPr>
          <w:rFonts w:cs="Arial"/>
          <w:szCs w:val="24"/>
          <w:lang w:val="pt-BR"/>
        </w:rPr>
      </w:pPr>
      <w:r w:rsidRPr="00BE4401">
        <w:rPr>
          <w:rFonts w:cs="Arial"/>
          <w:szCs w:val="24"/>
          <w:lang w:val="pl-PL"/>
        </w:rPr>
        <w:t xml:space="preserve">Kada je u pitanju gradska toplana ona poseduje sve tehničke preduslove za zamenu mazuta sa drvnom sečkom. </w:t>
      </w:r>
      <w:r w:rsidRPr="00BE4401">
        <w:rPr>
          <w:rFonts w:cs="Arial"/>
          <w:szCs w:val="24"/>
          <w:lang w:val="pt-BR"/>
        </w:rPr>
        <w:t>S obzirom na visinu investicije preporuka je da se ona odvija u dve faze. U prvoj fazi bi se uradila projektno-tehnička dokumentacija, a u drugoj nabavka novih kotlova, pratećih instalacija kao i svi ostali radovi.</w:t>
      </w:r>
    </w:p>
    <w:p w:rsidR="00917616" w:rsidRPr="00BE4401" w:rsidRDefault="00917616" w:rsidP="00E7415E">
      <w:pPr>
        <w:spacing w:line="276" w:lineRule="auto"/>
        <w:rPr>
          <w:rFonts w:cs="Arial"/>
          <w:szCs w:val="24"/>
          <w:lang w:val="pt-BR"/>
        </w:rPr>
      </w:pPr>
      <w:r w:rsidRPr="00BE4401">
        <w:rPr>
          <w:rFonts w:cs="Arial"/>
          <w:szCs w:val="24"/>
          <w:lang w:val="pt-BR"/>
        </w:rPr>
        <w:t>S obzirom na činjenicu da opština Petrovac na Mlavi ne raspolaže značajnijim resursima drvne biomase za energetske potrebe nabavka drvne sečke bi se vršila sa tržišta. U ovoj opštini postoji jedan, a u susednoj još dva proizvođača drvne sečke pa je vrlo izvesno da će postojati njihov interes da se uključe u lanac snabdevanja ovim gorivom. Tim pre što se radi o količinama koje nisu velike i koje bi za njih bile prihvatljive. Svake godine u Srbiji je sve veći broj objekata od javnog značaja u kojima se vrši zamena nekog od fosilnih goriva biomasom pri čemu su javne nabavke za nabavku drvnih goriva postale ustaljena praksa kako za korisnike tako i za proizvođače i distributere.</w:t>
      </w:r>
    </w:p>
    <w:p w:rsidR="00917616" w:rsidRPr="00BE4401" w:rsidRDefault="00917616" w:rsidP="00E7415E">
      <w:pPr>
        <w:spacing w:line="276" w:lineRule="auto"/>
        <w:rPr>
          <w:rFonts w:cs="Arial"/>
          <w:szCs w:val="24"/>
          <w:lang w:val="pt-BR"/>
        </w:rPr>
      </w:pPr>
      <w:r w:rsidRPr="00BE4401">
        <w:rPr>
          <w:rFonts w:cs="Arial"/>
          <w:szCs w:val="24"/>
          <w:lang w:val="pt-BR"/>
        </w:rPr>
        <w:t>S obzirom na veoma visoku potrošnju drvne energije po jedinici grejne površine u domaćinstvima koja koriste ogrevno drvo neophodno je definisati i otpočeti program njihove edukacije kako da efikasnije koriste ogrevno drvo. Na taj način bi se doprinelo efikasnijoj upotrebi odgrevnog drveta, smanjenju i svođenju potrošnje drveta na prihvatljiv nivo sa stanovišta energetske efikasnosti, smanjenju zagađenosti životne sredine ali i racionalnom korišćenju biomase kao lokalnog i nacionalnog resursa.</w:t>
      </w:r>
    </w:p>
    <w:p w:rsidR="00917616" w:rsidRPr="001018A1" w:rsidRDefault="00917616" w:rsidP="00E7415E">
      <w:pPr>
        <w:pStyle w:val="Heading2"/>
        <w:numPr>
          <w:ilvl w:val="1"/>
          <w:numId w:val="12"/>
        </w:numPr>
        <w:spacing w:before="0" w:after="120" w:line="276" w:lineRule="auto"/>
      </w:pPr>
      <w:bookmarkStart w:id="10" w:name="_Toc526170782"/>
      <w:bookmarkStart w:id="11" w:name="_Toc531367206"/>
      <w:r w:rsidRPr="001018A1">
        <w:t>Bilans poljoprivredne biomase</w:t>
      </w:r>
      <w:bookmarkEnd w:id="10"/>
      <w:bookmarkEnd w:id="11"/>
    </w:p>
    <w:p w:rsidR="00917616" w:rsidRDefault="00917616" w:rsidP="00E7415E">
      <w:pPr>
        <w:spacing w:line="276" w:lineRule="auto"/>
        <w:rPr>
          <w:rFonts w:cs="Arial"/>
        </w:rPr>
      </w:pPr>
      <w:r w:rsidRPr="00E7415E">
        <w:rPr>
          <w:rFonts w:cs="Arial"/>
        </w:rPr>
        <w:t xml:space="preserve">Za izradu bilansa poljoprivredne biomase opštine korišćena je metodologija koja je uvažavala zvanične statističke podatke Republike Srbije, podatke iz dokumentacije stručnih službi </w:t>
      </w:r>
      <w:r>
        <w:rPr>
          <w:rFonts w:cs="Arial"/>
        </w:rPr>
        <w:t>o</w:t>
      </w:r>
      <w:r w:rsidRPr="00E7415E">
        <w:rPr>
          <w:rFonts w:cs="Arial"/>
        </w:rPr>
        <w:t>pštine, interne materijale pojedinih poljoprivrednih preduzeća i zadruga, kao i podatke raznih domaćih i inostranih ekspertskih istraživanja i analiza dobijenih u dugogodišnjem radu na sličnoj problematici.</w:t>
      </w:r>
    </w:p>
    <w:p w:rsidR="00917616" w:rsidRPr="001018A1" w:rsidRDefault="00917616" w:rsidP="00E7415E">
      <w:pPr>
        <w:spacing w:line="276" w:lineRule="auto"/>
      </w:pPr>
      <w:r w:rsidRPr="001018A1">
        <w:rPr>
          <w:rFonts w:cs="Arial"/>
        </w:rPr>
        <w:t xml:space="preserve">Ukupna površina zemljišta </w:t>
      </w:r>
      <w:r>
        <w:rPr>
          <w:rFonts w:cs="Arial"/>
        </w:rPr>
        <w:t>o</w:t>
      </w:r>
      <w:r w:rsidRPr="001018A1">
        <w:rPr>
          <w:rFonts w:cs="Arial"/>
        </w:rPr>
        <w:t xml:space="preserve">pštine iznosi 65.500,0 ha. Od toga oko 75,0% čini poljoprivredno zemljište, ostale površine </w:t>
      </w:r>
      <w:r>
        <w:rPr>
          <w:rFonts w:cs="Arial"/>
        </w:rPr>
        <w:t>o</w:t>
      </w:r>
      <w:r w:rsidRPr="001018A1">
        <w:rPr>
          <w:rFonts w:cs="Arial"/>
        </w:rPr>
        <w:t xml:space="preserve">pštine čine građevinsko zemljište, šume, vodotokovi, saobraćajnice i dr.  </w:t>
      </w:r>
    </w:p>
    <w:p w:rsidR="00917616" w:rsidRPr="001018A1" w:rsidRDefault="00917616" w:rsidP="00E7415E">
      <w:pPr>
        <w:spacing w:line="276" w:lineRule="auto"/>
        <w:rPr>
          <w:rFonts w:cs="Arial"/>
        </w:rPr>
      </w:pPr>
      <w:r w:rsidRPr="001018A1">
        <w:rPr>
          <w:rFonts w:cs="Arial"/>
        </w:rPr>
        <w:t>Površina opštine Petrovac na Mlavi je izdeljena na trideset četiri katastarske opštine i to: Bistrica, Bošnjak, Burovac, Busur, Vezičevo, Veliki Popovac, Veliko Laole, Vitovnica, Vošanovac, Dobrnje, Dubočka, Ždrelo, Zabrđe, Kamenovo, Kladurovo, Knežica, Krvije, Leskovac, Lopušnik, Malo Laole, Manastirica, Melnica, Oreškovica, Orljevo, Pankovo, Petrovac na Mlavi, Ranovac, Rašanac, Stamnica, Starčevo, Tabanovac, Trnovče, Ćovdin i Šetonje.</w:t>
      </w:r>
    </w:p>
    <w:p w:rsidR="00917616" w:rsidRPr="001018A1" w:rsidRDefault="00917616" w:rsidP="00E7415E">
      <w:pPr>
        <w:spacing w:line="276" w:lineRule="auto"/>
        <w:rPr>
          <w:rFonts w:cs="Arial"/>
        </w:rPr>
      </w:pPr>
      <w:r w:rsidRPr="001018A1">
        <w:rPr>
          <w:rFonts w:cs="Arial"/>
        </w:rPr>
        <w:t xml:space="preserve">U opštini Petrovac na Mlavi namena zemljišta je sledeća: njive zauzimaju </w:t>
      </w:r>
      <w:r w:rsidRPr="001018A1">
        <w:rPr>
          <w:rFonts w:cs="Arial"/>
          <w:color w:val="000000"/>
        </w:rPr>
        <w:t>34.680,7</w:t>
      </w:r>
      <w:r w:rsidRPr="001018A1">
        <w:rPr>
          <w:rFonts w:cs="Arial"/>
        </w:rPr>
        <w:t xml:space="preserve"> ha (</w:t>
      </w:r>
      <w:r w:rsidRPr="001018A1">
        <w:rPr>
          <w:rFonts w:cs="Arial"/>
          <w:color w:val="000000"/>
        </w:rPr>
        <w:t>70,63</w:t>
      </w:r>
      <w:r w:rsidRPr="001018A1">
        <w:rPr>
          <w:rFonts w:cs="Arial"/>
        </w:rPr>
        <w:t xml:space="preserve">%), voćnjaci </w:t>
      </w:r>
      <w:r w:rsidRPr="001018A1">
        <w:rPr>
          <w:rFonts w:cs="Arial"/>
          <w:color w:val="000000"/>
        </w:rPr>
        <w:t>4.068,1</w:t>
      </w:r>
      <w:r w:rsidRPr="001018A1">
        <w:rPr>
          <w:rFonts w:cs="Arial"/>
        </w:rPr>
        <w:t xml:space="preserve"> ha (</w:t>
      </w:r>
      <w:r w:rsidRPr="001018A1">
        <w:rPr>
          <w:rFonts w:cs="Arial"/>
          <w:color w:val="000000"/>
        </w:rPr>
        <w:t>8,28</w:t>
      </w:r>
      <w:r w:rsidRPr="001018A1">
        <w:rPr>
          <w:rFonts w:cs="Arial"/>
        </w:rPr>
        <w:t xml:space="preserve">%), vinogradi </w:t>
      </w:r>
      <w:r w:rsidRPr="001018A1">
        <w:rPr>
          <w:rFonts w:cs="Arial"/>
          <w:color w:val="000000"/>
        </w:rPr>
        <w:t>1.159,2</w:t>
      </w:r>
      <w:r w:rsidRPr="001018A1">
        <w:rPr>
          <w:rFonts w:cs="Arial"/>
        </w:rPr>
        <w:t xml:space="preserve"> ha (</w:t>
      </w:r>
      <w:r w:rsidRPr="001018A1">
        <w:rPr>
          <w:rFonts w:cs="Arial"/>
          <w:color w:val="000000"/>
        </w:rPr>
        <w:t>2,36</w:t>
      </w:r>
      <w:r w:rsidRPr="001018A1">
        <w:rPr>
          <w:rFonts w:cs="Arial"/>
        </w:rPr>
        <w:t xml:space="preserve">%), livade i pašnjaci </w:t>
      </w:r>
      <w:r w:rsidRPr="001018A1">
        <w:rPr>
          <w:rFonts w:cs="Arial"/>
          <w:color w:val="000000"/>
        </w:rPr>
        <w:t>8.165,8</w:t>
      </w:r>
      <w:r w:rsidRPr="001018A1">
        <w:rPr>
          <w:rFonts w:cs="Arial"/>
        </w:rPr>
        <w:t xml:space="preserve"> ha (</w:t>
      </w:r>
      <w:r w:rsidRPr="001018A1">
        <w:rPr>
          <w:rFonts w:cs="Arial"/>
          <w:color w:val="000000"/>
        </w:rPr>
        <w:t>16,63</w:t>
      </w:r>
      <w:r w:rsidRPr="001018A1">
        <w:rPr>
          <w:rFonts w:cs="Arial"/>
        </w:rPr>
        <w:t xml:space="preserve">%), trstici i močvare 0,0 ha (0,00%), dok je pod ostalim poljoprivrednim zemljištem </w:t>
      </w:r>
      <w:r w:rsidRPr="001018A1">
        <w:rPr>
          <w:rFonts w:cs="Arial"/>
          <w:color w:val="000000"/>
        </w:rPr>
        <w:t>1.030,0</w:t>
      </w:r>
      <w:r w:rsidRPr="001018A1">
        <w:rPr>
          <w:rFonts w:cs="Arial"/>
        </w:rPr>
        <w:t xml:space="preserve"> ha (</w:t>
      </w:r>
      <w:r w:rsidRPr="001018A1">
        <w:rPr>
          <w:rFonts w:cs="Arial"/>
          <w:color w:val="000000"/>
        </w:rPr>
        <w:t>2,10</w:t>
      </w:r>
      <w:r w:rsidRPr="001018A1">
        <w:rPr>
          <w:rFonts w:cs="Arial"/>
        </w:rPr>
        <w:t>%). Iz navedenog se može konstatovati da se na poljoprivrednom zemljištu najviše gaje ratarsko-povrtarske kulture.</w:t>
      </w:r>
    </w:p>
    <w:p w:rsidR="00917616" w:rsidRPr="001018A1" w:rsidRDefault="00917616" w:rsidP="00E7415E">
      <w:pPr>
        <w:spacing w:line="276" w:lineRule="auto"/>
        <w:rPr>
          <w:rFonts w:cs="Arial"/>
        </w:rPr>
      </w:pPr>
      <w:r w:rsidRPr="001018A1">
        <w:rPr>
          <w:rFonts w:cs="Arial"/>
        </w:rPr>
        <w:t xml:space="preserve">Struktura kvaliteta poljoprivrednog zemljišta u </w:t>
      </w:r>
      <w:r>
        <w:rPr>
          <w:rFonts w:cs="Arial"/>
        </w:rPr>
        <w:t>o</w:t>
      </w:r>
      <w:r w:rsidRPr="001018A1">
        <w:rPr>
          <w:rFonts w:cs="Arial"/>
        </w:rPr>
        <w:t xml:space="preserve">pštini se može prikazati u sledećem: I klasa zemljišta </w:t>
      </w:r>
      <w:r w:rsidRPr="001018A1">
        <w:rPr>
          <w:rFonts w:cs="Arial"/>
          <w:color w:val="000000"/>
        </w:rPr>
        <w:t>2.776,6</w:t>
      </w:r>
      <w:r w:rsidRPr="001018A1">
        <w:rPr>
          <w:rFonts w:cs="Arial"/>
        </w:rPr>
        <w:t xml:space="preserve"> ha (</w:t>
      </w:r>
      <w:r w:rsidRPr="001018A1">
        <w:rPr>
          <w:rFonts w:cs="Arial"/>
          <w:color w:val="000000"/>
        </w:rPr>
        <w:t>4,47</w:t>
      </w:r>
      <w:r w:rsidRPr="001018A1">
        <w:rPr>
          <w:rFonts w:cs="Arial"/>
        </w:rPr>
        <w:t xml:space="preserve">%), II klasa zemljišta </w:t>
      </w:r>
      <w:r w:rsidRPr="001018A1">
        <w:rPr>
          <w:rFonts w:cs="Arial"/>
          <w:color w:val="000000"/>
        </w:rPr>
        <w:t>3.460,9</w:t>
      </w:r>
      <w:r w:rsidRPr="001018A1">
        <w:rPr>
          <w:rFonts w:cs="Arial"/>
        </w:rPr>
        <w:t xml:space="preserve"> ha (</w:t>
      </w:r>
      <w:r w:rsidRPr="001018A1">
        <w:rPr>
          <w:rFonts w:cs="Arial"/>
          <w:color w:val="000000"/>
        </w:rPr>
        <w:t>5,57</w:t>
      </w:r>
      <w:r w:rsidRPr="001018A1">
        <w:rPr>
          <w:rFonts w:cs="Arial"/>
        </w:rPr>
        <w:t xml:space="preserve">%), III klasa zemljišta </w:t>
      </w:r>
      <w:r w:rsidRPr="001018A1">
        <w:rPr>
          <w:rFonts w:cs="Arial"/>
          <w:color w:val="000000"/>
        </w:rPr>
        <w:t>8.968,3</w:t>
      </w:r>
      <w:r w:rsidRPr="001018A1">
        <w:rPr>
          <w:rFonts w:cs="Arial"/>
        </w:rPr>
        <w:t xml:space="preserve"> ha (</w:t>
      </w:r>
      <w:r w:rsidRPr="001018A1">
        <w:rPr>
          <w:rFonts w:cs="Arial"/>
          <w:color w:val="000000"/>
        </w:rPr>
        <w:t>14,44</w:t>
      </w:r>
      <w:r w:rsidRPr="001018A1">
        <w:rPr>
          <w:rFonts w:cs="Arial"/>
        </w:rPr>
        <w:t xml:space="preserve">%), IV klasa zemljišta </w:t>
      </w:r>
      <w:r w:rsidRPr="001018A1">
        <w:rPr>
          <w:rFonts w:cs="Arial"/>
          <w:color w:val="000000"/>
        </w:rPr>
        <w:t>15.941,4</w:t>
      </w:r>
      <w:r w:rsidRPr="001018A1">
        <w:rPr>
          <w:rFonts w:cs="Arial"/>
        </w:rPr>
        <w:t xml:space="preserve"> ha (</w:t>
      </w:r>
      <w:r w:rsidRPr="001018A1">
        <w:rPr>
          <w:rFonts w:cs="Arial"/>
          <w:color w:val="000000"/>
        </w:rPr>
        <w:t>25,66</w:t>
      </w:r>
      <w:r w:rsidRPr="001018A1">
        <w:rPr>
          <w:rFonts w:cs="Arial"/>
        </w:rPr>
        <w:t xml:space="preserve">%), V klasa zemljišta </w:t>
      </w:r>
      <w:r w:rsidRPr="001018A1">
        <w:rPr>
          <w:rFonts w:cs="Arial"/>
          <w:color w:val="000000"/>
        </w:rPr>
        <w:t>10.643,9</w:t>
      </w:r>
      <w:r w:rsidRPr="001018A1">
        <w:rPr>
          <w:rFonts w:cs="Arial"/>
        </w:rPr>
        <w:t xml:space="preserve"> ha (</w:t>
      </w:r>
      <w:r w:rsidRPr="001018A1">
        <w:rPr>
          <w:rFonts w:cs="Arial"/>
          <w:color w:val="000000"/>
        </w:rPr>
        <w:t>17,13</w:t>
      </w:r>
      <w:r w:rsidRPr="001018A1">
        <w:rPr>
          <w:rFonts w:cs="Arial"/>
        </w:rPr>
        <w:t xml:space="preserve">%), VI klasa zemljišta </w:t>
      </w:r>
      <w:r w:rsidRPr="001018A1">
        <w:rPr>
          <w:rFonts w:cs="Arial"/>
          <w:color w:val="000000"/>
        </w:rPr>
        <w:t>20.327,8</w:t>
      </w:r>
      <w:r w:rsidRPr="001018A1">
        <w:rPr>
          <w:rFonts w:cs="Arial"/>
        </w:rPr>
        <w:t xml:space="preserve"> ha (</w:t>
      </w:r>
      <w:r w:rsidRPr="001018A1">
        <w:rPr>
          <w:rFonts w:cs="Arial"/>
          <w:color w:val="000000"/>
        </w:rPr>
        <w:t>32,72</w:t>
      </w:r>
      <w:r w:rsidRPr="001018A1">
        <w:rPr>
          <w:rFonts w:cs="Arial"/>
        </w:rPr>
        <w:t xml:space="preserve">%), VII klasa zemljišta 0,0 ha (0,00%), VIII klasa zemljišta 0,0 ha (0,00%). Iz navedenog se može konstatovati da 75,51% zemljišta </w:t>
      </w:r>
      <w:r>
        <w:rPr>
          <w:rFonts w:cs="Arial"/>
        </w:rPr>
        <w:t>o</w:t>
      </w:r>
      <w:r w:rsidRPr="001018A1">
        <w:rPr>
          <w:rFonts w:cs="Arial"/>
        </w:rPr>
        <w:t xml:space="preserve">pštine čini zemlljište IV, V, VI klase, što predstavlja srednji kvalitet zemljišta za gajenje poljoprivrednih kultura. Interesantno je da 32,72% poljoprivrednog zemljišta </w:t>
      </w:r>
      <w:r>
        <w:rPr>
          <w:rFonts w:cs="Arial"/>
        </w:rPr>
        <w:t>o</w:t>
      </w:r>
      <w:r w:rsidRPr="001018A1">
        <w:rPr>
          <w:rFonts w:cs="Arial"/>
        </w:rPr>
        <w:t xml:space="preserve">pštine potpada pod VI, VII i VIII klasu, što omogućuje da se u </w:t>
      </w:r>
      <w:r>
        <w:rPr>
          <w:rFonts w:cs="Arial"/>
        </w:rPr>
        <w:t>o</w:t>
      </w:r>
      <w:r w:rsidRPr="001018A1">
        <w:rPr>
          <w:rFonts w:cs="Arial"/>
        </w:rPr>
        <w:t xml:space="preserve">pštini u većoj meri gaje tzv. </w:t>
      </w:r>
      <w:r>
        <w:rPr>
          <w:rFonts w:cs="Arial"/>
        </w:rPr>
        <w:t>„</w:t>
      </w:r>
      <w:r w:rsidRPr="001018A1">
        <w:rPr>
          <w:rFonts w:cs="Arial"/>
        </w:rPr>
        <w:t>energetske kulture</w:t>
      </w:r>
      <w:r>
        <w:rPr>
          <w:rFonts w:cs="Arial"/>
        </w:rPr>
        <w:t>”</w:t>
      </w:r>
      <w:r w:rsidRPr="001018A1">
        <w:rPr>
          <w:rFonts w:cs="Arial"/>
        </w:rPr>
        <w:t>.</w:t>
      </w:r>
    </w:p>
    <w:p w:rsidR="00917616" w:rsidRPr="001018A1" w:rsidRDefault="00917616" w:rsidP="00E7415E">
      <w:pPr>
        <w:spacing w:line="276" w:lineRule="auto"/>
      </w:pPr>
    </w:p>
    <w:p w:rsidR="00917616" w:rsidRPr="001018A1" w:rsidRDefault="00917616" w:rsidP="00E7415E">
      <w:pPr>
        <w:spacing w:line="276" w:lineRule="auto"/>
        <w:rPr>
          <w:rFonts w:cs="Arial"/>
          <w:b/>
        </w:rPr>
      </w:pPr>
      <w:r w:rsidRPr="001018A1">
        <w:rPr>
          <w:rFonts w:cs="Arial"/>
          <w:b/>
        </w:rPr>
        <w:t>Raspoloživi resursi poljoprivredne biomase u opštini Petrovac na Mlavi</w:t>
      </w:r>
    </w:p>
    <w:p w:rsidR="00917616" w:rsidRPr="001018A1" w:rsidRDefault="00917616" w:rsidP="00E7415E">
      <w:pPr>
        <w:spacing w:line="276" w:lineRule="auto"/>
        <w:rPr>
          <w:rFonts w:cs="Arial"/>
        </w:rPr>
      </w:pPr>
      <w:r>
        <w:rPr>
          <w:rFonts w:cs="Arial"/>
        </w:rPr>
        <w:t>Bilj</w:t>
      </w:r>
      <w:r w:rsidRPr="001018A1">
        <w:rPr>
          <w:rFonts w:cs="Arial"/>
        </w:rPr>
        <w:t xml:space="preserve">na proizvodnja važnijih merkantilnih ratarsko-povrtarskih kultura u opštini Petrovac na Mlavi se realizuje na površini od oko 22.941,0 ha. </w:t>
      </w:r>
    </w:p>
    <w:p w:rsidR="00917616" w:rsidRPr="001018A1" w:rsidRDefault="00917616" w:rsidP="00E7415E">
      <w:pPr>
        <w:spacing w:line="276" w:lineRule="auto"/>
        <w:rPr>
          <w:rFonts w:cs="Arial"/>
        </w:rPr>
      </w:pPr>
      <w:r w:rsidRPr="001018A1">
        <w:rPr>
          <w:rFonts w:cs="Arial"/>
        </w:rPr>
        <w:t>Za sagledavanje obima proizvodnje (ujedno i ostataka biomase) usvojene su dve grupe gajenih kultura. Prvu grupu čine kulture čiji ostaci biomase nakon ubiranja osnovnog proizvoda koji će energetsku valorizaciju imati kroz direktno sagorevanje, a drugu grupu čine kulture koje su namenjene za proizvodnju biogasa tretiranjem u biogasnim postrojenjima (koji se naknadno najčešće koristi kao energent).</w:t>
      </w:r>
    </w:p>
    <w:p w:rsidR="00917616" w:rsidRPr="001018A1" w:rsidRDefault="00917616" w:rsidP="00E7415E">
      <w:pPr>
        <w:spacing w:line="276" w:lineRule="auto"/>
        <w:rPr>
          <w:rFonts w:cs="Arial"/>
        </w:rPr>
      </w:pPr>
      <w:r w:rsidRPr="001018A1">
        <w:rPr>
          <w:rFonts w:cs="Arial"/>
        </w:rPr>
        <w:t>U grupu važnijih kultura namenjenih za sagorevanje odabrane su: pšenica, raž, ječam, ovas, kukuruz za zrno (sa posebno iskazanim količinama oklaska), pasulj, uljana repica, suncokret, soja, ljuske od suncokreta i soje, kao i druge kulture koje su sumarno prikazane kao ostala žita za zrno (proso, sirak...) i ostale mahunarke (bob, grašak, sočivo, kikiriki...).</w:t>
      </w:r>
    </w:p>
    <w:p w:rsidR="00917616" w:rsidRPr="001018A1" w:rsidRDefault="00917616" w:rsidP="00E7415E">
      <w:pPr>
        <w:spacing w:line="276" w:lineRule="auto"/>
        <w:rPr>
          <w:rFonts w:cs="Arial"/>
        </w:rPr>
      </w:pPr>
      <w:r w:rsidRPr="001018A1">
        <w:rPr>
          <w:rFonts w:cs="Arial"/>
        </w:rPr>
        <w:t xml:space="preserve">U drugu grupu su svrstane kulture: šećerna repa, kukuruz za silažu i ostalo krmno bilje (lucerka, detelina...). Navedeno krmno bilje je uvršteno u bilans iako je u </w:t>
      </w:r>
      <w:r>
        <w:rPr>
          <w:rFonts w:cs="Arial"/>
        </w:rPr>
        <w:t>o</w:t>
      </w:r>
      <w:r w:rsidRPr="001018A1">
        <w:rPr>
          <w:rFonts w:cs="Arial"/>
        </w:rPr>
        <w:t xml:space="preserve">pštini ono namenjeno stočarskoj proizvodnji i kao takvo se samo delom može koristiti za dobijanje biogasa. Za potrebe većih novoizgrađenih postrojenja za proizvodnju biogasa neophodno bi bilo promeniti strukturu setve u korist kultura za proizvodnju biogasa fermentacijom. </w:t>
      </w:r>
    </w:p>
    <w:p w:rsidR="00917616" w:rsidRPr="001018A1" w:rsidRDefault="00917616" w:rsidP="00E7415E">
      <w:pPr>
        <w:spacing w:line="276" w:lineRule="auto"/>
        <w:rPr>
          <w:rFonts w:cs="Arial"/>
        </w:rPr>
      </w:pPr>
      <w:r w:rsidRPr="001018A1">
        <w:rPr>
          <w:rFonts w:cs="Arial"/>
        </w:rPr>
        <w:t>Sa prosečnim prinosima osnovnog proizvoda (najčešće zrna) za desetogodišnji period koji su za područje Petrovca na Mlavi prikazani u tabeli 2 (Statistički godišnjak 2008-2017) ukupna masa osnovnih proizvoda iznosi 161.548,5 t. Od toga kulture iz prve grupe čine 74.067,0 t (45,85%), a ostatak od 87.481,5 t (54,15%), čine kulture koje mogu biti korišćene za proizvodnju biogasa.</w:t>
      </w:r>
    </w:p>
    <w:p w:rsidR="00917616" w:rsidRPr="001018A1" w:rsidRDefault="00917616" w:rsidP="00E7415E">
      <w:pPr>
        <w:spacing w:line="276" w:lineRule="auto"/>
        <w:rPr>
          <w:rFonts w:cs="Arial"/>
        </w:rPr>
      </w:pPr>
      <w:r w:rsidRPr="001018A1">
        <w:rPr>
          <w:rFonts w:cs="Arial"/>
        </w:rPr>
        <w:t xml:space="preserve">U </w:t>
      </w:r>
      <w:r>
        <w:rPr>
          <w:rFonts w:cs="Arial"/>
        </w:rPr>
        <w:t>o</w:t>
      </w:r>
      <w:r w:rsidRPr="001018A1">
        <w:rPr>
          <w:rFonts w:cs="Arial"/>
        </w:rPr>
        <w:t>pštini kao produkt ratarsko-povrtarske proizvodnje ostvaruju se sledeći prinosi ostataka biomase:</w:t>
      </w:r>
    </w:p>
    <w:p w:rsidR="00917616" w:rsidRPr="00F21910" w:rsidRDefault="00917616" w:rsidP="00E7415E">
      <w:pPr>
        <w:spacing w:line="276" w:lineRule="auto"/>
        <w:rPr>
          <w:rFonts w:cs="Arial"/>
        </w:rPr>
      </w:pPr>
    </w:p>
    <w:p w:rsidR="00917616" w:rsidRPr="001018A1" w:rsidRDefault="00917616" w:rsidP="00E7415E">
      <w:pPr>
        <w:spacing w:line="276" w:lineRule="auto"/>
        <w:jc w:val="center"/>
        <w:rPr>
          <w:rFonts w:cs="Arial"/>
        </w:rPr>
      </w:pPr>
      <w:r w:rsidRPr="00F21910">
        <w:rPr>
          <w:rFonts w:cs="Arial"/>
        </w:rPr>
        <w:t xml:space="preserve">Tabela 2: Prinosi </w:t>
      </w:r>
      <w:r w:rsidRPr="001018A1">
        <w:rPr>
          <w:rFonts w:cs="Arial"/>
        </w:rPr>
        <w:t>ostataka biomase iz ratarsko-povrtarske proizvodnje i mogućnosti produkcije energije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672"/>
        <w:gridCol w:w="2502"/>
        <w:gridCol w:w="1407"/>
        <w:gridCol w:w="1911"/>
        <w:gridCol w:w="1279"/>
        <w:gridCol w:w="1517"/>
      </w:tblGrid>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Red. br.</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b/>
                <w:color w:val="000000"/>
                <w:lang w:eastAsia="en-US"/>
              </w:rPr>
            </w:pPr>
            <w:r w:rsidRPr="00786508">
              <w:rPr>
                <w:rFonts w:cs="Arial"/>
                <w:color w:val="000000"/>
                <w:lang w:eastAsia="en-US"/>
              </w:rPr>
              <w:t>Biljna kultura</w:t>
            </w:r>
          </w:p>
        </w:tc>
        <w:tc>
          <w:tcPr>
            <w:tcW w:w="1407" w:type="dxa"/>
            <w:vAlign w:val="center"/>
          </w:tcPr>
          <w:p w:rsidR="00917616" w:rsidRPr="00BE4401" w:rsidRDefault="00917616" w:rsidP="00786508">
            <w:pPr>
              <w:overflowPunct/>
              <w:autoSpaceDE/>
              <w:autoSpaceDN/>
              <w:adjustRightInd/>
              <w:spacing w:line="276" w:lineRule="auto"/>
              <w:jc w:val="center"/>
              <w:textAlignment w:val="auto"/>
              <w:rPr>
                <w:rFonts w:cs="Arial"/>
                <w:b/>
                <w:color w:val="000000"/>
                <w:lang w:val="pl-PL" w:eastAsia="en-US"/>
              </w:rPr>
            </w:pPr>
            <w:r w:rsidRPr="00BE4401">
              <w:rPr>
                <w:rFonts w:cs="Arial"/>
                <w:color w:val="000000"/>
                <w:lang w:val="pl-PL" w:eastAsia="en-US"/>
              </w:rPr>
              <w:t>Ukupno raspoložive biomase na njivama</w:t>
            </w:r>
          </w:p>
        </w:tc>
        <w:tc>
          <w:tcPr>
            <w:tcW w:w="1911" w:type="dxa"/>
            <w:vAlign w:val="center"/>
          </w:tcPr>
          <w:p w:rsidR="00917616" w:rsidRPr="00BE4401" w:rsidRDefault="00917616" w:rsidP="00786508">
            <w:pPr>
              <w:overflowPunct/>
              <w:autoSpaceDE/>
              <w:autoSpaceDN/>
              <w:adjustRightInd/>
              <w:spacing w:line="276" w:lineRule="auto"/>
              <w:jc w:val="center"/>
              <w:textAlignment w:val="auto"/>
              <w:rPr>
                <w:rFonts w:cs="Arial"/>
                <w:b/>
                <w:color w:val="000000"/>
                <w:lang w:val="pl-PL" w:eastAsia="en-US"/>
              </w:rPr>
            </w:pPr>
            <w:r w:rsidRPr="00BE4401">
              <w:rPr>
                <w:rFonts w:cs="Arial"/>
                <w:color w:val="000000"/>
                <w:lang w:val="pl-PL" w:eastAsia="en-US"/>
              </w:rPr>
              <w:t>Ukupno raspolo-žive biomase na njivama koja se može iskoristiti za produkciju energije</w:t>
            </w:r>
          </w:p>
        </w:tc>
        <w:tc>
          <w:tcPr>
            <w:tcW w:w="1279"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Udeo raspoložive biomase pojedinih kultura</w:t>
            </w:r>
          </w:p>
        </w:tc>
        <w:tc>
          <w:tcPr>
            <w:tcW w:w="1517"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Ukupno godišnje raspoloživo energije iz biomase</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w:t>
            </w:r>
          </w:p>
        </w:tc>
        <w:tc>
          <w:tcPr>
            <w:tcW w:w="1407" w:type="dxa"/>
            <w:vAlign w:val="center"/>
          </w:tcPr>
          <w:p w:rsidR="00917616" w:rsidRPr="00786508" w:rsidRDefault="00917616" w:rsidP="00786508">
            <w:pPr>
              <w:overflowPunct/>
              <w:autoSpaceDE/>
              <w:autoSpaceDN/>
              <w:adjustRightInd/>
              <w:spacing w:line="276" w:lineRule="auto"/>
              <w:jc w:val="center"/>
              <w:textAlignment w:val="auto"/>
              <w:rPr>
                <w:rFonts w:cs="Arial"/>
                <w:color w:val="000000"/>
                <w:lang w:eastAsia="en-US"/>
              </w:rPr>
            </w:pPr>
            <w:r w:rsidRPr="00786508">
              <w:rPr>
                <w:rFonts w:cs="Arial"/>
                <w:color w:val="000000"/>
                <w:lang w:eastAsia="en-US"/>
              </w:rPr>
              <w:t>(t/god)</w:t>
            </w:r>
          </w:p>
        </w:tc>
        <w:tc>
          <w:tcPr>
            <w:tcW w:w="1911" w:type="dxa"/>
            <w:vAlign w:val="center"/>
          </w:tcPr>
          <w:p w:rsidR="00917616" w:rsidRPr="00786508" w:rsidRDefault="00917616" w:rsidP="00786508">
            <w:pPr>
              <w:overflowPunct/>
              <w:autoSpaceDE/>
              <w:autoSpaceDN/>
              <w:adjustRightInd/>
              <w:spacing w:line="276" w:lineRule="auto"/>
              <w:jc w:val="center"/>
              <w:textAlignment w:val="auto"/>
              <w:rPr>
                <w:rFonts w:cs="Arial"/>
                <w:color w:val="000000"/>
                <w:lang w:eastAsia="en-US"/>
              </w:rPr>
            </w:pPr>
            <w:r w:rsidRPr="00786508">
              <w:rPr>
                <w:rFonts w:cs="Arial"/>
                <w:color w:val="000000"/>
                <w:lang w:eastAsia="en-US"/>
              </w:rPr>
              <w:t>(t/god)</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w:t>
            </w:r>
          </w:p>
        </w:tc>
        <w:tc>
          <w:tcPr>
            <w:tcW w:w="1517" w:type="dxa"/>
            <w:vAlign w:val="center"/>
          </w:tcPr>
          <w:p w:rsidR="00917616" w:rsidRPr="00786508" w:rsidRDefault="00917616" w:rsidP="00786508">
            <w:pPr>
              <w:overflowPunct/>
              <w:autoSpaceDE/>
              <w:autoSpaceDN/>
              <w:adjustRightInd/>
              <w:spacing w:line="276" w:lineRule="auto"/>
              <w:jc w:val="center"/>
              <w:textAlignment w:val="auto"/>
              <w:rPr>
                <w:rFonts w:cs="Arial"/>
                <w:color w:val="000000"/>
                <w:lang w:eastAsia="en-US"/>
              </w:rPr>
            </w:pPr>
            <w:r w:rsidRPr="00786508">
              <w:rPr>
                <w:rFonts w:cs="Arial"/>
                <w:color w:val="000000"/>
                <w:lang w:eastAsia="en-US"/>
              </w:rPr>
              <w:t>(GJ)</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Pšenica</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22.702,7</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6.810,8</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5,05</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95.351,3</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2</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Raž</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46,8</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14,0</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0,01</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196,4</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3</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Ječam</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3.306,9</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992,1</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0,74</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14.087,5</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4</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Ovas</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907,2</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272,2</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0,20</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3.538,1</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5</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Kukuruz za zrno</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95.982,0</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28.794,6</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21,35</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388.727,1</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6</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Oklasak kukuruza</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9.598,2</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9.598,2</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7,12</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141.093,5</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7</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BE4401">
              <w:rPr>
                <w:rFonts w:cs="Arial"/>
                <w:color w:val="000000"/>
                <w:lang w:val="pl-PL" w:eastAsia="en-US"/>
              </w:rPr>
              <w:t xml:space="preserve">Ostala žita za zrno (proso, sirak...) </w:t>
            </w:r>
            <w:r w:rsidRPr="00786508">
              <w:rPr>
                <w:rFonts w:cs="Arial"/>
                <w:color w:val="000000"/>
                <w:lang w:eastAsia="en-US"/>
              </w:rPr>
              <w:t>*</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286,0</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85,8</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0,06</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1.115,4</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8</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Pasulj</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5,3</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1,6</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0,00</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22,5</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9</w:t>
            </w:r>
          </w:p>
        </w:tc>
        <w:tc>
          <w:tcPr>
            <w:tcW w:w="2502" w:type="dxa"/>
            <w:vAlign w:val="center"/>
          </w:tcPr>
          <w:p w:rsidR="00917616" w:rsidRPr="00786508" w:rsidRDefault="00917616" w:rsidP="00786508">
            <w:pPr>
              <w:overflowPunct/>
              <w:autoSpaceDE/>
              <w:autoSpaceDN/>
              <w:adjustRightInd/>
              <w:spacing w:line="276" w:lineRule="auto"/>
              <w:ind w:right="-161"/>
              <w:jc w:val="left"/>
              <w:textAlignment w:val="auto"/>
              <w:rPr>
                <w:rFonts w:cs="Arial"/>
                <w:color w:val="000000"/>
                <w:lang w:eastAsia="en-US"/>
              </w:rPr>
            </w:pPr>
            <w:r w:rsidRPr="00786508">
              <w:rPr>
                <w:rFonts w:cs="Arial"/>
                <w:color w:val="000000"/>
                <w:lang w:eastAsia="en-US"/>
              </w:rPr>
              <w:t>Ostale mahunarke (bob, grašak, sočivo, kikiriki...) *</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30,8</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9,2</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0,01</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129,2</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10</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 xml:space="preserve">Uljana repica </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57,8</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17,3</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0,01</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301,5</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11</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Suncokret</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1.443,2</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433,0</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0,32</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6.277,9</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12</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Ljuska suncokreta</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180,4</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180,4</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0,13</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3.175,0</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13</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Soja</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558,8</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167,6</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0,12</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2.631,9</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135.105,9</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47.376,8</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35,13</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656.647,3</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14</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(1) Šećerna repa</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0,00</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0,0</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15</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(2) Kukuruz za silažu</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3.736,5</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3.736,5</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2,77</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74.730,0</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16</w:t>
            </w: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(2) Ostalo krmno bilje *</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83.745,0</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83.745,0</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62,10</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1.674.900,0</w:t>
            </w:r>
          </w:p>
        </w:tc>
      </w:tr>
      <w:tr w:rsidR="00917616" w:rsidRPr="00786508" w:rsidTr="00786508">
        <w:tc>
          <w:tcPr>
            <w:tcW w:w="67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p>
        </w:tc>
        <w:tc>
          <w:tcPr>
            <w:tcW w:w="250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87.481,5</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87.481,5</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64,87</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1.749.630,0</w:t>
            </w:r>
          </w:p>
        </w:tc>
      </w:tr>
      <w:tr w:rsidR="00917616" w:rsidRPr="00786508" w:rsidTr="00786508">
        <w:tc>
          <w:tcPr>
            <w:tcW w:w="672" w:type="dxa"/>
          </w:tcPr>
          <w:p w:rsidR="00917616" w:rsidRPr="00786508" w:rsidRDefault="00917616" w:rsidP="00786508">
            <w:pPr>
              <w:overflowPunct/>
              <w:autoSpaceDE/>
              <w:autoSpaceDN/>
              <w:adjustRightInd/>
              <w:spacing w:line="276" w:lineRule="auto"/>
              <w:jc w:val="left"/>
              <w:textAlignment w:val="auto"/>
              <w:rPr>
                <w:rFonts w:cs="Arial"/>
                <w:b/>
                <w:color w:val="000000"/>
                <w:lang w:eastAsia="en-US"/>
              </w:rPr>
            </w:pPr>
          </w:p>
        </w:tc>
        <w:tc>
          <w:tcPr>
            <w:tcW w:w="2502" w:type="dxa"/>
            <w:vAlign w:val="bottom"/>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UKUPNO</w:t>
            </w:r>
          </w:p>
        </w:tc>
        <w:tc>
          <w:tcPr>
            <w:tcW w:w="140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222.587,4</w:t>
            </w:r>
          </w:p>
        </w:tc>
        <w:tc>
          <w:tcPr>
            <w:tcW w:w="1911"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134.858,3</w:t>
            </w:r>
          </w:p>
        </w:tc>
        <w:tc>
          <w:tcPr>
            <w:tcW w:w="1279"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100,00</w:t>
            </w:r>
          </w:p>
        </w:tc>
        <w:tc>
          <w:tcPr>
            <w:tcW w:w="1517" w:type="dxa"/>
            <w:vAlign w:val="center"/>
          </w:tcPr>
          <w:p w:rsidR="00917616" w:rsidRPr="00786508" w:rsidRDefault="00917616" w:rsidP="00786508">
            <w:pPr>
              <w:overflowPunct/>
              <w:autoSpaceDE/>
              <w:autoSpaceDN/>
              <w:adjustRightInd/>
              <w:spacing w:line="276" w:lineRule="auto"/>
              <w:ind w:right="191"/>
              <w:jc w:val="right"/>
              <w:textAlignment w:val="auto"/>
              <w:rPr>
                <w:rFonts w:cs="Arial"/>
                <w:bCs/>
                <w:color w:val="000000"/>
                <w:lang w:eastAsia="en-US"/>
              </w:rPr>
            </w:pPr>
            <w:r w:rsidRPr="00786508">
              <w:rPr>
                <w:rFonts w:cs="Arial"/>
                <w:bCs/>
                <w:color w:val="000000"/>
                <w:lang w:eastAsia="en-US"/>
              </w:rPr>
              <w:t>2.406.277,3</w:t>
            </w:r>
          </w:p>
        </w:tc>
      </w:tr>
    </w:tbl>
    <w:p w:rsidR="00917616" w:rsidRPr="001018A1" w:rsidRDefault="00917616" w:rsidP="00E7415E">
      <w:pPr>
        <w:spacing w:line="276" w:lineRule="auto"/>
        <w:rPr>
          <w:rFonts w:cs="Arial"/>
        </w:rPr>
      </w:pPr>
    </w:p>
    <w:tbl>
      <w:tblPr>
        <w:tblW w:w="9083" w:type="dxa"/>
        <w:tblInd w:w="99" w:type="dxa"/>
        <w:tblLook w:val="00A0"/>
      </w:tblPr>
      <w:tblGrid>
        <w:gridCol w:w="519"/>
        <w:gridCol w:w="8564"/>
      </w:tblGrid>
      <w:tr w:rsidR="00917616" w:rsidRPr="00BE4401" w:rsidTr="001018A1">
        <w:trPr>
          <w:trHeight w:val="365"/>
        </w:trPr>
        <w:tc>
          <w:tcPr>
            <w:tcW w:w="519" w:type="dxa"/>
            <w:tcBorders>
              <w:top w:val="nil"/>
              <w:left w:val="nil"/>
              <w:bottom w:val="nil"/>
              <w:right w:val="nil"/>
            </w:tcBorders>
            <w:noWrap/>
            <w:vAlign w:val="center"/>
          </w:tcPr>
          <w:p w:rsidR="00917616" w:rsidRPr="001018A1" w:rsidRDefault="00917616" w:rsidP="00E7415E">
            <w:pPr>
              <w:overflowPunct/>
              <w:autoSpaceDE/>
              <w:autoSpaceDN/>
              <w:adjustRightInd/>
              <w:spacing w:line="276" w:lineRule="auto"/>
              <w:jc w:val="right"/>
              <w:textAlignment w:val="auto"/>
              <w:rPr>
                <w:rFonts w:cs="Arial"/>
                <w:color w:val="000000"/>
                <w:lang w:eastAsia="en-US"/>
              </w:rPr>
            </w:pPr>
            <w:r w:rsidRPr="001018A1">
              <w:rPr>
                <w:rFonts w:cs="Arial"/>
                <w:color w:val="000000"/>
                <w:vertAlign w:val="superscript"/>
                <w:lang w:eastAsia="en-US"/>
              </w:rPr>
              <w:t>(1)</w:t>
            </w:r>
            <w:r w:rsidRPr="001018A1">
              <w:rPr>
                <w:rFonts w:cs="Arial"/>
                <w:color w:val="000000"/>
                <w:lang w:eastAsia="en-US"/>
              </w:rPr>
              <w:t>_</w:t>
            </w:r>
          </w:p>
        </w:tc>
        <w:tc>
          <w:tcPr>
            <w:tcW w:w="8564" w:type="dxa"/>
            <w:tcBorders>
              <w:top w:val="nil"/>
              <w:left w:val="nil"/>
              <w:bottom w:val="nil"/>
              <w:right w:val="nil"/>
            </w:tcBorders>
            <w:noWrap/>
            <w:vAlign w:val="bottom"/>
          </w:tcPr>
          <w:p w:rsidR="00917616" w:rsidRPr="00BE4401" w:rsidRDefault="00917616" w:rsidP="00E7415E">
            <w:pPr>
              <w:overflowPunct/>
              <w:autoSpaceDE/>
              <w:autoSpaceDN/>
              <w:adjustRightInd/>
              <w:spacing w:line="276" w:lineRule="auto"/>
              <w:textAlignment w:val="auto"/>
              <w:rPr>
                <w:rFonts w:cs="Arial"/>
                <w:color w:val="000000"/>
                <w:sz w:val="20"/>
                <w:lang w:val="pl-PL" w:eastAsia="en-US"/>
              </w:rPr>
            </w:pPr>
            <w:r w:rsidRPr="001018A1">
              <w:rPr>
                <w:rFonts w:cs="Arial"/>
                <w:color w:val="000000"/>
                <w:sz w:val="20"/>
                <w:lang w:eastAsia="en-US"/>
              </w:rPr>
              <w:t xml:space="preserve">Zbog toga što se vađenjem šećerne repe odstranjuju iz zemljišta ogromne količine organske materije u cilju očuvanja tog zemljišta neophodno je veći deo ostataka biomase ostaviti na samoj parceli. </w:t>
            </w:r>
            <w:r w:rsidRPr="00BE4401">
              <w:rPr>
                <w:rFonts w:cs="Arial"/>
                <w:color w:val="000000"/>
                <w:sz w:val="20"/>
                <w:lang w:val="pl-PL" w:eastAsia="en-US"/>
              </w:rPr>
              <w:t>Usvojeno je da to iznosi 30% od raspoložive biomase (lišća i glava repe).</w:t>
            </w:r>
          </w:p>
        </w:tc>
      </w:tr>
      <w:tr w:rsidR="00917616" w:rsidRPr="00BE4401" w:rsidTr="001018A1">
        <w:trPr>
          <w:trHeight w:val="365"/>
        </w:trPr>
        <w:tc>
          <w:tcPr>
            <w:tcW w:w="519" w:type="dxa"/>
            <w:tcBorders>
              <w:left w:val="nil"/>
              <w:bottom w:val="nil"/>
              <w:right w:val="nil"/>
            </w:tcBorders>
            <w:noWrap/>
            <w:vAlign w:val="center"/>
          </w:tcPr>
          <w:p w:rsidR="00917616" w:rsidRPr="00BE4401" w:rsidRDefault="00917616" w:rsidP="00E7415E">
            <w:pPr>
              <w:overflowPunct/>
              <w:autoSpaceDE/>
              <w:autoSpaceDN/>
              <w:adjustRightInd/>
              <w:spacing w:line="276" w:lineRule="auto"/>
              <w:jc w:val="right"/>
              <w:textAlignment w:val="auto"/>
              <w:rPr>
                <w:rFonts w:cs="Arial"/>
                <w:color w:val="000000"/>
                <w:lang w:val="pl-PL" w:eastAsia="en-US"/>
              </w:rPr>
            </w:pPr>
          </w:p>
        </w:tc>
        <w:tc>
          <w:tcPr>
            <w:tcW w:w="8564" w:type="dxa"/>
            <w:tcBorders>
              <w:top w:val="nil"/>
              <w:left w:val="nil"/>
              <w:bottom w:val="nil"/>
              <w:right w:val="nil"/>
            </w:tcBorders>
            <w:noWrap/>
            <w:vAlign w:val="bottom"/>
          </w:tcPr>
          <w:p w:rsidR="00917616" w:rsidRPr="00BE4401" w:rsidRDefault="00917616" w:rsidP="00E7415E">
            <w:pPr>
              <w:overflowPunct/>
              <w:autoSpaceDE/>
              <w:autoSpaceDN/>
              <w:adjustRightInd/>
              <w:spacing w:line="276" w:lineRule="auto"/>
              <w:textAlignment w:val="auto"/>
              <w:rPr>
                <w:rFonts w:cs="Arial"/>
                <w:color w:val="000000"/>
                <w:sz w:val="20"/>
                <w:lang w:val="pl-PL" w:eastAsia="en-US"/>
              </w:rPr>
            </w:pPr>
            <w:r w:rsidRPr="00BE4401">
              <w:rPr>
                <w:rFonts w:cs="Arial"/>
                <w:color w:val="000000"/>
                <w:sz w:val="20"/>
                <w:lang w:val="pl-PL" w:eastAsia="en-US"/>
              </w:rPr>
              <w:t>Normalno je da se krmno bilje i silažni kukuruz u celosti odstranjuju sa parcela, ali se u plodosmenama o tome vodi računa, pa se te kulture na isto zemljište najranije vraćaju za 4 godine.</w:t>
            </w:r>
          </w:p>
        </w:tc>
      </w:tr>
      <w:tr w:rsidR="00917616" w:rsidRPr="00786508" w:rsidTr="001018A1">
        <w:trPr>
          <w:trHeight w:val="315"/>
        </w:trPr>
        <w:tc>
          <w:tcPr>
            <w:tcW w:w="519" w:type="dxa"/>
            <w:tcBorders>
              <w:top w:val="nil"/>
              <w:left w:val="nil"/>
              <w:bottom w:val="nil"/>
              <w:right w:val="nil"/>
            </w:tcBorders>
            <w:noWrap/>
            <w:vAlign w:val="center"/>
          </w:tcPr>
          <w:p w:rsidR="00917616" w:rsidRPr="001018A1" w:rsidRDefault="00917616" w:rsidP="00E7415E">
            <w:pPr>
              <w:overflowPunct/>
              <w:autoSpaceDE/>
              <w:autoSpaceDN/>
              <w:adjustRightInd/>
              <w:spacing w:line="276" w:lineRule="auto"/>
              <w:jc w:val="right"/>
              <w:textAlignment w:val="auto"/>
              <w:rPr>
                <w:rFonts w:cs="Arial"/>
                <w:color w:val="000000"/>
                <w:lang w:eastAsia="en-US"/>
              </w:rPr>
            </w:pPr>
            <w:r w:rsidRPr="001018A1">
              <w:rPr>
                <w:rFonts w:cs="Arial"/>
                <w:color w:val="000000"/>
                <w:lang w:eastAsia="en-US"/>
              </w:rPr>
              <w:t>*_</w:t>
            </w:r>
          </w:p>
        </w:tc>
        <w:tc>
          <w:tcPr>
            <w:tcW w:w="8564" w:type="dxa"/>
            <w:tcBorders>
              <w:top w:val="nil"/>
              <w:left w:val="nil"/>
              <w:bottom w:val="nil"/>
              <w:right w:val="nil"/>
            </w:tcBorders>
            <w:noWrap/>
            <w:vAlign w:val="bottom"/>
          </w:tcPr>
          <w:p w:rsidR="00917616" w:rsidRPr="001018A1" w:rsidRDefault="00917616" w:rsidP="00E7415E">
            <w:pPr>
              <w:overflowPunct/>
              <w:autoSpaceDE/>
              <w:autoSpaceDN/>
              <w:adjustRightInd/>
              <w:spacing w:line="276" w:lineRule="auto"/>
              <w:textAlignment w:val="auto"/>
              <w:rPr>
                <w:rFonts w:cs="Arial"/>
                <w:color w:val="000000"/>
                <w:sz w:val="20"/>
                <w:lang w:eastAsia="en-US"/>
              </w:rPr>
            </w:pPr>
            <w:r w:rsidRPr="001018A1">
              <w:rPr>
                <w:rFonts w:cs="Arial"/>
                <w:color w:val="000000"/>
                <w:sz w:val="20"/>
                <w:lang w:eastAsia="en-US"/>
              </w:rPr>
              <w:t>Zbog malog udela ostalih kultura kod žita, mahunarki i krmnog bilja i značajnijih promena u pogledu vrste biljaka i obima proizvodnje usvojeni su prosečni prinosi koji se neće menjati.</w:t>
            </w:r>
          </w:p>
        </w:tc>
      </w:tr>
    </w:tbl>
    <w:p w:rsidR="00917616" w:rsidRPr="001018A1" w:rsidRDefault="00917616" w:rsidP="00E7415E">
      <w:pPr>
        <w:spacing w:line="276" w:lineRule="auto"/>
        <w:rPr>
          <w:rFonts w:cs="Arial"/>
        </w:rPr>
      </w:pPr>
    </w:p>
    <w:p w:rsidR="00917616" w:rsidRPr="001018A1" w:rsidRDefault="00917616" w:rsidP="00E7415E">
      <w:pPr>
        <w:spacing w:line="276" w:lineRule="auto"/>
        <w:rPr>
          <w:rFonts w:cs="Arial"/>
          <w:bCs/>
          <w:color w:val="000000"/>
          <w:lang w:eastAsia="en-US"/>
        </w:rPr>
      </w:pPr>
      <w:r w:rsidRPr="001018A1">
        <w:rPr>
          <w:rFonts w:cs="Arial"/>
        </w:rPr>
        <w:t xml:space="preserve">Prema tabeli 2 u </w:t>
      </w:r>
      <w:r>
        <w:rPr>
          <w:rFonts w:cs="Arial"/>
        </w:rPr>
        <w:t>o</w:t>
      </w:r>
      <w:r w:rsidRPr="001018A1">
        <w:rPr>
          <w:rFonts w:cs="Arial"/>
        </w:rPr>
        <w:t xml:space="preserve">pštini se tokom godine iz ratarsko-povrtarske proizvodnje proizvede na godišnjem nivou </w:t>
      </w:r>
      <w:r w:rsidRPr="001018A1">
        <w:rPr>
          <w:rFonts w:cs="Arial"/>
          <w:bCs/>
          <w:color w:val="000000"/>
          <w:lang w:eastAsia="en-US"/>
        </w:rPr>
        <w:t>222.587,4 t ostataka biomase. U cilju očuvanja zemljišta kao jednog od najvažnijih resursa poljoprivredne proizvodnje u planu je da se najveći deo tih ostataka zaore na njivama. Oko 30% se nesmetano može odnositi sa parcela, a da pri tome ne dođe do degradacije zemljišta. Isti efekat se može postići i ako se svake 4 godine odnesu svi ostaci biomase, a u ostalim godinama se ostaci u celosti zaoravaju.</w:t>
      </w:r>
    </w:p>
    <w:p w:rsidR="00917616" w:rsidRPr="001018A1" w:rsidRDefault="00917616" w:rsidP="00E7415E">
      <w:pPr>
        <w:spacing w:line="276" w:lineRule="auto"/>
        <w:rPr>
          <w:rFonts w:cs="Arial"/>
        </w:rPr>
      </w:pPr>
      <w:r w:rsidRPr="001018A1">
        <w:rPr>
          <w:rFonts w:cs="Arial"/>
        </w:rPr>
        <w:t xml:space="preserve">Od </w:t>
      </w:r>
      <w:r w:rsidRPr="001018A1">
        <w:rPr>
          <w:rFonts w:cs="Arial"/>
          <w:bCs/>
          <w:color w:val="000000"/>
          <w:lang w:eastAsia="en-US"/>
        </w:rPr>
        <w:t>toga 47.376,8 t (35,13%) se odnose na kulture koje se mogu direktno sagorevati, a ostatak od 87.481,5 t (64,87%) se odnosi na</w:t>
      </w:r>
      <w:r w:rsidRPr="001018A1">
        <w:rPr>
          <w:rFonts w:cs="Arial"/>
        </w:rPr>
        <w:t xml:space="preserve"> kulture koje mogu biti korišćene za proizvodnju biogasa.</w:t>
      </w:r>
    </w:p>
    <w:p w:rsidR="00917616" w:rsidRPr="001018A1" w:rsidRDefault="00917616" w:rsidP="00E7415E">
      <w:pPr>
        <w:spacing w:line="276" w:lineRule="auto"/>
        <w:rPr>
          <w:rFonts w:cs="Arial"/>
        </w:rPr>
      </w:pPr>
      <w:r w:rsidRPr="001018A1">
        <w:rPr>
          <w:rFonts w:cs="Arial"/>
        </w:rPr>
        <w:t xml:space="preserve">Od ostataka biomase u opštini Petrovac na Mlavi se koriste oklasak od kukuruza koji se od raspoloživih količina u potpunosti koristi kao energent. Raspoložive količine oklaska u opštini Petrovac na Mlavi iznose </w:t>
      </w:r>
      <w:r w:rsidRPr="001018A1">
        <w:rPr>
          <w:rFonts w:cs="Arial"/>
          <w:color w:val="000000"/>
        </w:rPr>
        <w:t>9.598,2</w:t>
      </w:r>
      <w:r w:rsidRPr="001018A1">
        <w:rPr>
          <w:rFonts w:cs="Arial"/>
        </w:rPr>
        <w:t xml:space="preserve"> t. Oklasak se najviše kao gorivo koristi u domaćinstvima i ekspertska procena je da se 70% raspoložive mase koristi u energetske svrhe. </w:t>
      </w:r>
      <w:r w:rsidRPr="001018A1">
        <w:rPr>
          <w:rFonts w:cs="Arial"/>
          <w:bCs/>
          <w:color w:val="000000"/>
          <w:lang w:eastAsia="en-US"/>
        </w:rPr>
        <w:t>Ostali biljni ostaci sa njiva nisu toliko interesantni kao biogorivo, pre svega zbog malih količina i često povišene vlažnosti u vremenu ubiranja.</w:t>
      </w:r>
    </w:p>
    <w:p w:rsidR="00917616" w:rsidRPr="001018A1" w:rsidRDefault="00917616" w:rsidP="00E7415E">
      <w:pPr>
        <w:spacing w:line="276" w:lineRule="auto"/>
        <w:rPr>
          <w:rFonts w:cs="Arial"/>
        </w:rPr>
      </w:pPr>
      <w:r w:rsidRPr="001018A1">
        <w:rPr>
          <w:rFonts w:cs="Arial"/>
        </w:rPr>
        <w:t xml:space="preserve">Potencijali produkcije energije (direktnim sagorevanjem i za proizvodnju biogasa) od ostataka biomase iz ratarsko-povrtarske proizvodnje na godišnjem nivou iznose </w:t>
      </w:r>
      <w:r w:rsidRPr="001018A1">
        <w:rPr>
          <w:rFonts w:cs="Arial"/>
          <w:bCs/>
          <w:color w:val="000000"/>
          <w:lang w:eastAsia="en-US"/>
        </w:rPr>
        <w:t>2.406.277,3</w:t>
      </w:r>
      <w:r w:rsidRPr="001018A1">
        <w:rPr>
          <w:rFonts w:cs="Arial"/>
        </w:rPr>
        <w:t xml:space="preserve"> GJ.</w:t>
      </w:r>
    </w:p>
    <w:p w:rsidR="00917616" w:rsidRPr="001018A1" w:rsidRDefault="00917616" w:rsidP="00E7415E">
      <w:pPr>
        <w:spacing w:line="276" w:lineRule="auto"/>
        <w:rPr>
          <w:rFonts w:cs="Arial"/>
          <w:bCs/>
          <w:color w:val="000000"/>
          <w:lang w:eastAsia="en-US"/>
        </w:rPr>
      </w:pPr>
      <w:r w:rsidRPr="001018A1">
        <w:rPr>
          <w:rFonts w:cs="Arial"/>
          <w:bCs/>
          <w:color w:val="000000"/>
          <w:lang w:eastAsia="en-US"/>
        </w:rPr>
        <w:t xml:space="preserve">Ostaci ratarsko-povrtarske proizvodnje sa povišenom vlažnošću nisu pogodni za direktno sagorevanje i da bi se koristili u energetske svrhe tretiraju se u postrojenjima za proizvodnju biogasa, koji se kasnije energetski valorizuje. U bilansima opštine su prikazane količine biljaka koje se mogu koristiti u toj nameni, ali je tu važno napomenuti da se to može prikazati samo uslovno, pošto su kulture koje se proizvode namenjene kao hrana za stoku, a ne kao sirovina za biogasna postrojenja. U slučaju da treba stvoriti sirovinsku osnovu za rad biogasnog postrojenja u </w:t>
      </w:r>
      <w:r>
        <w:rPr>
          <w:rFonts w:cs="Arial"/>
          <w:bCs/>
          <w:color w:val="000000"/>
          <w:lang w:eastAsia="en-US"/>
        </w:rPr>
        <w:t>o</w:t>
      </w:r>
      <w:r w:rsidRPr="001018A1">
        <w:rPr>
          <w:rFonts w:cs="Arial"/>
          <w:bCs/>
          <w:color w:val="000000"/>
          <w:lang w:eastAsia="en-US"/>
        </w:rPr>
        <w:t>pštini je neophodno povećati površine na kojima se gaji krmno bilje, a to će opet poremetiti bilanse kod drugih gajenih kultura.</w:t>
      </w:r>
    </w:p>
    <w:p w:rsidR="00917616" w:rsidRPr="001018A1" w:rsidRDefault="00917616" w:rsidP="00E7415E">
      <w:pPr>
        <w:spacing w:line="276" w:lineRule="auto"/>
        <w:rPr>
          <w:rFonts w:cs="Arial"/>
        </w:rPr>
      </w:pPr>
      <w:r>
        <w:rPr>
          <w:rFonts w:cs="Arial"/>
          <w:bCs/>
          <w:color w:val="000000"/>
          <w:lang w:eastAsia="en-US"/>
        </w:rPr>
        <w:t>o</w:t>
      </w:r>
      <w:r w:rsidRPr="001018A1">
        <w:rPr>
          <w:rFonts w:cs="Arial"/>
          <w:bCs/>
          <w:color w:val="000000"/>
          <w:lang w:eastAsia="en-US"/>
        </w:rPr>
        <w:t xml:space="preserve">pština Petrovac na Mlavi spada u regione kod kojih je rasprostranjena voćarsko-vinogradarska proizvodnja. </w:t>
      </w:r>
      <w:r w:rsidRPr="001018A1">
        <w:rPr>
          <w:rFonts w:cs="Arial"/>
        </w:rPr>
        <w:t xml:space="preserve">U </w:t>
      </w:r>
      <w:r>
        <w:rPr>
          <w:rFonts w:cs="Arial"/>
        </w:rPr>
        <w:t>o</w:t>
      </w:r>
      <w:r w:rsidRPr="001018A1">
        <w:rPr>
          <w:rFonts w:cs="Arial"/>
        </w:rPr>
        <w:t>pštini kao produkt voćarsko-vinogradarske proizvodnje ostvaruju se sledeći prinosi ostataka biomase:</w:t>
      </w:r>
    </w:p>
    <w:p w:rsidR="00917616" w:rsidRPr="001018A1" w:rsidRDefault="00917616" w:rsidP="00E7415E">
      <w:pPr>
        <w:spacing w:line="276" w:lineRule="auto"/>
        <w:jc w:val="center"/>
        <w:rPr>
          <w:rFonts w:cs="Arial"/>
        </w:rPr>
      </w:pPr>
      <w:r w:rsidRPr="00F21910">
        <w:rPr>
          <w:rFonts w:cs="Arial"/>
        </w:rPr>
        <w:t xml:space="preserve">Tabela 3: Prinosi ostataka biomase iz voćarsko-vinogradarske proizvodnje i mogućnosti produkcije </w:t>
      </w:r>
      <w:r w:rsidRPr="001018A1">
        <w:rPr>
          <w:rFonts w:cs="Arial"/>
        </w:rPr>
        <w:t>energije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874"/>
        <w:gridCol w:w="1862"/>
        <w:gridCol w:w="3044"/>
        <w:gridCol w:w="1344"/>
        <w:gridCol w:w="2164"/>
      </w:tblGrid>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Red. br.</w:t>
            </w:r>
          </w:p>
        </w:tc>
        <w:tc>
          <w:tcPr>
            <w:tcW w:w="1862"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Biljna kultura</w:t>
            </w:r>
          </w:p>
        </w:tc>
        <w:tc>
          <w:tcPr>
            <w:tcW w:w="304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Ukupno raspoložive biomase na njivama - prinos orezane biomase</w:t>
            </w:r>
          </w:p>
        </w:tc>
        <w:tc>
          <w:tcPr>
            <w:tcW w:w="1344" w:type="dxa"/>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Udeo biomase pojedinih kultura</w:t>
            </w:r>
          </w:p>
        </w:tc>
        <w:tc>
          <w:tcPr>
            <w:tcW w:w="216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Ukupno godišnje raspoloživo energije iz biomase</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w:t>
            </w:r>
          </w:p>
        </w:tc>
        <w:tc>
          <w:tcPr>
            <w:tcW w:w="1862" w:type="dxa"/>
            <w:vAlign w:val="center"/>
          </w:tcPr>
          <w:p w:rsidR="00917616" w:rsidRPr="00786508" w:rsidRDefault="00917616" w:rsidP="00786508">
            <w:pPr>
              <w:overflowPunct/>
              <w:autoSpaceDE/>
              <w:autoSpaceDN/>
              <w:adjustRightInd/>
              <w:spacing w:line="276" w:lineRule="auto"/>
              <w:jc w:val="center"/>
              <w:textAlignment w:val="auto"/>
              <w:rPr>
                <w:rFonts w:cs="Arial"/>
                <w:color w:val="000000"/>
                <w:lang w:eastAsia="en-US"/>
              </w:rPr>
            </w:pPr>
            <w:r w:rsidRPr="00786508">
              <w:rPr>
                <w:rFonts w:cs="Arial"/>
                <w:color w:val="000000"/>
                <w:lang w:eastAsia="en-US"/>
              </w:rPr>
              <w:t>-</w:t>
            </w:r>
          </w:p>
        </w:tc>
        <w:tc>
          <w:tcPr>
            <w:tcW w:w="3044" w:type="dxa"/>
            <w:vAlign w:val="center"/>
          </w:tcPr>
          <w:p w:rsidR="00917616" w:rsidRPr="00786508" w:rsidRDefault="00917616" w:rsidP="00786508">
            <w:pPr>
              <w:overflowPunct/>
              <w:autoSpaceDE/>
              <w:autoSpaceDN/>
              <w:adjustRightInd/>
              <w:spacing w:line="276" w:lineRule="auto"/>
              <w:jc w:val="center"/>
              <w:textAlignment w:val="auto"/>
              <w:rPr>
                <w:rFonts w:cs="Arial"/>
                <w:color w:val="000000"/>
                <w:lang w:eastAsia="en-US"/>
              </w:rPr>
            </w:pPr>
            <w:r w:rsidRPr="00786508">
              <w:rPr>
                <w:rFonts w:cs="Arial"/>
                <w:color w:val="000000"/>
                <w:lang w:eastAsia="en-US"/>
              </w:rPr>
              <w:t>(t/god)</w:t>
            </w:r>
          </w:p>
        </w:tc>
        <w:tc>
          <w:tcPr>
            <w:tcW w:w="1344" w:type="dxa"/>
            <w:vAlign w:val="bottom"/>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w:t>
            </w:r>
          </w:p>
        </w:tc>
        <w:tc>
          <w:tcPr>
            <w:tcW w:w="2164" w:type="dxa"/>
            <w:vAlign w:val="center"/>
          </w:tcPr>
          <w:p w:rsidR="00917616" w:rsidRPr="00786508" w:rsidRDefault="00917616" w:rsidP="00786508">
            <w:pPr>
              <w:overflowPunct/>
              <w:autoSpaceDE/>
              <w:autoSpaceDN/>
              <w:adjustRightInd/>
              <w:spacing w:line="276" w:lineRule="auto"/>
              <w:jc w:val="center"/>
              <w:textAlignment w:val="auto"/>
              <w:rPr>
                <w:rFonts w:cs="Arial"/>
                <w:color w:val="000000"/>
                <w:lang w:eastAsia="en-US"/>
              </w:rPr>
            </w:pPr>
            <w:r w:rsidRPr="00786508">
              <w:rPr>
                <w:rFonts w:cs="Arial"/>
                <w:color w:val="000000"/>
                <w:lang w:eastAsia="en-US"/>
              </w:rPr>
              <w:t>(GJ)</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1</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Jabuka</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587,7</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23,99</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8.992,3</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2</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Kruška</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214,6</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8,76</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3.283,3</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3</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Breskva</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73,3</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2,99</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1.158,5</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4</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Kajsija</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30,6</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1,25</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482,7</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5</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Višnje</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108,7</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4,44</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1.728,0</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6</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Šljive</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1.214,9</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49,60</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19.196,2</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7</w:t>
            </w:r>
          </w:p>
        </w:tc>
        <w:tc>
          <w:tcPr>
            <w:tcW w:w="1862"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Orasi</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78,0</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3,18</w:t>
            </w:r>
          </w:p>
        </w:tc>
        <w:tc>
          <w:tcPr>
            <w:tcW w:w="2164" w:type="dxa"/>
            <w:vAlign w:val="center"/>
          </w:tcPr>
          <w:p w:rsidR="00917616" w:rsidRPr="00786508" w:rsidRDefault="00917616" w:rsidP="00786508">
            <w:pPr>
              <w:spacing w:line="276" w:lineRule="auto"/>
              <w:ind w:right="283"/>
              <w:jc w:val="right"/>
              <w:rPr>
                <w:rFonts w:cs="Arial"/>
                <w:color w:val="000000"/>
              </w:rPr>
            </w:pPr>
            <w:r w:rsidRPr="00786508">
              <w:rPr>
                <w:rFonts w:cs="Arial"/>
                <w:color w:val="000000"/>
              </w:rPr>
              <w:t>1.287,0</w:t>
            </w:r>
          </w:p>
        </w:tc>
      </w:tr>
      <w:tr w:rsidR="00917616" w:rsidRPr="00786508" w:rsidTr="00786508">
        <w:tc>
          <w:tcPr>
            <w:tcW w:w="874"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8</w:t>
            </w:r>
          </w:p>
        </w:tc>
        <w:tc>
          <w:tcPr>
            <w:tcW w:w="1862" w:type="dxa"/>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Vinova loza</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141,6</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5,78</w:t>
            </w:r>
          </w:p>
        </w:tc>
        <w:tc>
          <w:tcPr>
            <w:tcW w:w="2164" w:type="dxa"/>
            <w:vAlign w:val="center"/>
          </w:tcPr>
          <w:p w:rsidR="00917616" w:rsidRPr="00786508" w:rsidRDefault="00917616" w:rsidP="00786508">
            <w:pPr>
              <w:overflowPunct/>
              <w:autoSpaceDE/>
              <w:autoSpaceDN/>
              <w:adjustRightInd/>
              <w:spacing w:line="276" w:lineRule="auto"/>
              <w:ind w:right="283"/>
              <w:jc w:val="right"/>
              <w:textAlignment w:val="auto"/>
              <w:rPr>
                <w:rFonts w:cs="Arial"/>
                <w:color w:val="000000"/>
                <w:lang w:eastAsia="en-US"/>
              </w:rPr>
            </w:pPr>
            <w:r w:rsidRPr="00786508">
              <w:rPr>
                <w:rFonts w:cs="Arial"/>
                <w:color w:val="000000"/>
                <w:lang w:eastAsia="en-US"/>
              </w:rPr>
              <w:t>1.981,7</w:t>
            </w:r>
          </w:p>
        </w:tc>
      </w:tr>
      <w:tr w:rsidR="00917616" w:rsidRPr="00786508" w:rsidTr="00786508">
        <w:tc>
          <w:tcPr>
            <w:tcW w:w="874" w:type="dxa"/>
          </w:tcPr>
          <w:p w:rsidR="00917616" w:rsidRPr="00786508" w:rsidRDefault="00917616" w:rsidP="00786508">
            <w:pPr>
              <w:spacing w:line="276" w:lineRule="auto"/>
              <w:rPr>
                <w:rFonts w:ascii="Arial Narrow" w:hAnsi="Arial Narrow" w:cs="Arial"/>
                <w:b/>
              </w:rPr>
            </w:pPr>
          </w:p>
        </w:tc>
        <w:tc>
          <w:tcPr>
            <w:tcW w:w="1862" w:type="dxa"/>
            <w:vAlign w:val="bottom"/>
          </w:tcPr>
          <w:p w:rsidR="00917616" w:rsidRPr="00786508" w:rsidRDefault="00917616" w:rsidP="00786508">
            <w:pPr>
              <w:overflowPunct/>
              <w:autoSpaceDE/>
              <w:autoSpaceDN/>
              <w:adjustRightInd/>
              <w:spacing w:line="276" w:lineRule="auto"/>
              <w:jc w:val="left"/>
              <w:textAlignment w:val="auto"/>
              <w:rPr>
                <w:rFonts w:cs="Arial"/>
                <w:bCs/>
                <w:color w:val="000000"/>
                <w:lang w:eastAsia="en-US"/>
              </w:rPr>
            </w:pPr>
            <w:r w:rsidRPr="00786508">
              <w:rPr>
                <w:rFonts w:cs="Arial"/>
                <w:bCs/>
                <w:color w:val="000000"/>
                <w:lang w:eastAsia="en-US"/>
              </w:rPr>
              <w:t>UKUPNO</w:t>
            </w:r>
          </w:p>
        </w:tc>
        <w:tc>
          <w:tcPr>
            <w:tcW w:w="3044" w:type="dxa"/>
            <w:vAlign w:val="center"/>
          </w:tcPr>
          <w:p w:rsidR="00917616" w:rsidRPr="00786508" w:rsidRDefault="00917616" w:rsidP="00786508">
            <w:pPr>
              <w:overflowPunct/>
              <w:autoSpaceDE/>
              <w:autoSpaceDN/>
              <w:adjustRightInd/>
              <w:spacing w:line="276" w:lineRule="auto"/>
              <w:ind w:right="602"/>
              <w:jc w:val="right"/>
              <w:textAlignment w:val="auto"/>
              <w:rPr>
                <w:rFonts w:cs="Arial"/>
                <w:color w:val="000000"/>
                <w:lang w:eastAsia="en-US"/>
              </w:rPr>
            </w:pPr>
            <w:r w:rsidRPr="00786508">
              <w:rPr>
                <w:rFonts w:cs="Arial"/>
                <w:color w:val="000000"/>
                <w:lang w:eastAsia="en-US"/>
              </w:rPr>
              <w:t>2.449,4</w:t>
            </w:r>
          </w:p>
        </w:tc>
        <w:tc>
          <w:tcPr>
            <w:tcW w:w="1344" w:type="dxa"/>
            <w:vAlign w:val="center"/>
          </w:tcPr>
          <w:p w:rsidR="00917616" w:rsidRPr="00786508" w:rsidRDefault="00917616" w:rsidP="00786508">
            <w:pPr>
              <w:overflowPunct/>
              <w:autoSpaceDE/>
              <w:autoSpaceDN/>
              <w:adjustRightInd/>
              <w:spacing w:line="276" w:lineRule="auto"/>
              <w:ind w:right="245"/>
              <w:jc w:val="right"/>
              <w:textAlignment w:val="auto"/>
              <w:rPr>
                <w:rFonts w:cs="Arial"/>
                <w:color w:val="000000"/>
                <w:lang w:eastAsia="en-US"/>
              </w:rPr>
            </w:pPr>
            <w:r w:rsidRPr="00786508">
              <w:rPr>
                <w:rFonts w:cs="Arial"/>
                <w:color w:val="000000"/>
                <w:lang w:eastAsia="en-US"/>
              </w:rPr>
              <w:t>100,0</w:t>
            </w:r>
          </w:p>
        </w:tc>
        <w:tc>
          <w:tcPr>
            <w:tcW w:w="2164" w:type="dxa"/>
            <w:vAlign w:val="center"/>
          </w:tcPr>
          <w:p w:rsidR="00917616" w:rsidRPr="00786508" w:rsidRDefault="00917616" w:rsidP="00786508">
            <w:pPr>
              <w:overflowPunct/>
              <w:autoSpaceDE/>
              <w:autoSpaceDN/>
              <w:adjustRightInd/>
              <w:spacing w:line="276" w:lineRule="auto"/>
              <w:ind w:right="283"/>
              <w:jc w:val="right"/>
              <w:textAlignment w:val="auto"/>
              <w:rPr>
                <w:rFonts w:cs="Arial"/>
                <w:color w:val="000000"/>
                <w:lang w:eastAsia="en-US"/>
              </w:rPr>
            </w:pPr>
            <w:r w:rsidRPr="00786508">
              <w:rPr>
                <w:rFonts w:cs="Arial"/>
                <w:color w:val="000000"/>
                <w:lang w:eastAsia="en-US"/>
              </w:rPr>
              <w:t>38.109,6</w:t>
            </w:r>
          </w:p>
        </w:tc>
      </w:tr>
    </w:tbl>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 xml:space="preserve">Prema tabeli 3 u </w:t>
      </w:r>
      <w:r>
        <w:rPr>
          <w:rFonts w:cs="Arial"/>
        </w:rPr>
        <w:t>o</w:t>
      </w:r>
      <w:r w:rsidRPr="001018A1">
        <w:rPr>
          <w:rFonts w:cs="Arial"/>
        </w:rPr>
        <w:t xml:space="preserve">pštini se tokom godine iz voćarsko-vinogradarske proizvodnje na godišnjem nivou proizvede </w:t>
      </w:r>
      <w:r w:rsidRPr="001018A1">
        <w:rPr>
          <w:rFonts w:cs="Arial"/>
          <w:color w:val="000000"/>
          <w:lang w:eastAsia="en-US"/>
        </w:rPr>
        <w:t xml:space="preserve">2.449,4 </w:t>
      </w:r>
      <w:r w:rsidRPr="001018A1">
        <w:rPr>
          <w:rFonts w:cs="Arial"/>
          <w:bCs/>
          <w:color w:val="000000"/>
          <w:lang w:eastAsia="en-US"/>
        </w:rPr>
        <w:t xml:space="preserve">t ostataka biomase. </w:t>
      </w:r>
      <w:r w:rsidRPr="001018A1">
        <w:rPr>
          <w:rFonts w:cs="Arial"/>
        </w:rPr>
        <w:t>Svi ostaci nakon rezidbe se mogu koristiti u energetske svrhe, usitnjeni, direktnim sagorevanjem. Problem njihovog korišćenja se najviše svodi na mogućnost njihovog prikupljanja i transporta do mesta energetske valorizacije. Iz tog razloga ih je povoljno usitnjavati i kao takve transportovati i skladištiti.</w:t>
      </w:r>
    </w:p>
    <w:p w:rsidR="00917616" w:rsidRPr="001018A1" w:rsidRDefault="00917616" w:rsidP="00E7415E">
      <w:pPr>
        <w:spacing w:line="276" w:lineRule="auto"/>
        <w:rPr>
          <w:rFonts w:cs="Arial"/>
        </w:rPr>
      </w:pPr>
      <w:r w:rsidRPr="001018A1">
        <w:rPr>
          <w:rFonts w:cs="Arial"/>
        </w:rPr>
        <w:t xml:space="preserve">U </w:t>
      </w:r>
      <w:r>
        <w:rPr>
          <w:rFonts w:cs="Arial"/>
        </w:rPr>
        <w:t>o</w:t>
      </w:r>
      <w:r w:rsidRPr="001018A1">
        <w:rPr>
          <w:rFonts w:cs="Arial"/>
        </w:rPr>
        <w:t>pštini se najviše od voćarskih kultura gaje šljiva i biomasa nakon njihovog orezivanja čini 49,60% tih resursa. Resursi nakon orezivanja jabuke čine 23,99%, a svih ostalih kultura oko 20,62%. Orezine vinove loze čine 5,78% resursa.</w:t>
      </w:r>
    </w:p>
    <w:p w:rsidR="00917616" w:rsidRPr="001018A1" w:rsidRDefault="00917616" w:rsidP="00E7415E">
      <w:pPr>
        <w:spacing w:line="276" w:lineRule="auto"/>
        <w:rPr>
          <w:rFonts w:cs="Arial"/>
          <w:color w:val="000000"/>
          <w:lang w:eastAsia="en-US"/>
        </w:rPr>
      </w:pPr>
      <w:r w:rsidRPr="001018A1">
        <w:rPr>
          <w:rFonts w:cs="Arial"/>
        </w:rPr>
        <w:t xml:space="preserve">Potencijali produkcije energije od ostataka biomase iz voćarsko-vinogradarske proizvodnje na godišnjem nivou iznose </w:t>
      </w:r>
      <w:r w:rsidRPr="001018A1">
        <w:rPr>
          <w:rFonts w:cs="Arial"/>
          <w:color w:val="000000"/>
          <w:lang w:eastAsia="en-US"/>
        </w:rPr>
        <w:t>38.109,6 GJ.</w:t>
      </w:r>
    </w:p>
    <w:p w:rsidR="00917616" w:rsidRPr="001018A1" w:rsidRDefault="00917616" w:rsidP="00E7415E">
      <w:pPr>
        <w:spacing w:line="276" w:lineRule="auto"/>
        <w:rPr>
          <w:rFonts w:cs="Arial"/>
        </w:rPr>
      </w:pPr>
      <w:r w:rsidRPr="001018A1">
        <w:rPr>
          <w:rFonts w:cs="Arial"/>
        </w:rPr>
        <w:t xml:space="preserve">U opštini Petrovac na Mlavi nema evidentiranih zasada pod </w:t>
      </w:r>
      <w:r>
        <w:rPr>
          <w:rFonts w:cs="Arial"/>
        </w:rPr>
        <w:t>„</w:t>
      </w:r>
      <w:r w:rsidRPr="001018A1">
        <w:rPr>
          <w:rFonts w:cs="Arial"/>
        </w:rPr>
        <w:t>energetskim</w:t>
      </w:r>
      <w:r>
        <w:rPr>
          <w:rFonts w:cs="Arial"/>
        </w:rPr>
        <w:t>”</w:t>
      </w:r>
      <w:r w:rsidRPr="001018A1">
        <w:rPr>
          <w:rFonts w:cs="Arial"/>
        </w:rPr>
        <w:t xml:space="preserve"> kulturama.</w:t>
      </w:r>
    </w:p>
    <w:p w:rsidR="00917616" w:rsidRPr="001018A1" w:rsidRDefault="00917616" w:rsidP="00E7415E">
      <w:pPr>
        <w:spacing w:line="276" w:lineRule="auto"/>
        <w:rPr>
          <w:rFonts w:cs="Arial"/>
          <w:color w:val="000000"/>
          <w:lang w:eastAsia="en-US"/>
        </w:rPr>
      </w:pPr>
      <w:r w:rsidRPr="001018A1">
        <w:rPr>
          <w:rFonts w:cs="Arial"/>
          <w:color w:val="000000"/>
          <w:lang w:eastAsia="en-US"/>
        </w:rPr>
        <w:t>Biomasa koja predstavlja ostatak ili bolje rečeno otpad u pojedinim pogonima agroindustrije može se koristiti u energetske svrhe. U zavisnosti od sadržaja vlage u ostacima biomase oni se dalje usmeravaju na direktno sagorevanje ili na proizvodnju biogasa. U pojedinim pogonima mogu nastati obe vrste ostataka biomase. Takav primer se može navesti u hladnjačama (većih kapaciteta i stepena prerade), gde se produkuje otpad plodova voća ili povrća koji se usmerava ka proizvodnji biogasa, a koštice tih plodova predstavljaju dobro čvrsto biogorivo za direktno sagorevanje. U centrima za sušenje i skladištenje zrna, mlinovima i mešaonama hrane za stoku kao ostaci biomase izdvajaju razne organske nečistoće, seme korova, lomljeno zrno i sl.</w:t>
      </w:r>
    </w:p>
    <w:p w:rsidR="00917616" w:rsidRPr="001018A1" w:rsidRDefault="00917616" w:rsidP="00E7415E">
      <w:pPr>
        <w:spacing w:line="276" w:lineRule="auto"/>
        <w:rPr>
          <w:rFonts w:cs="Arial"/>
          <w:color w:val="000000"/>
          <w:lang w:eastAsia="en-US"/>
        </w:rPr>
      </w:pPr>
      <w:r w:rsidRPr="001018A1">
        <w:rPr>
          <w:rFonts w:cs="Arial"/>
          <w:color w:val="000000"/>
          <w:lang w:eastAsia="en-US"/>
        </w:rPr>
        <w:t xml:space="preserve">Tako se u opštini Petrovac na Mlavi na godišnjem nivou može iz većih pogona agroindustrije prikupiti 374,1 t otpadne biomase koja se može usmeriti na energetsku valorizaciju direktnim sagorevanjem, dok značajnijih ostataka biomase povećane vlažnosti koji se mogu iskoristiti za proizvodnju biogasa u </w:t>
      </w:r>
      <w:r>
        <w:rPr>
          <w:rFonts w:cs="Arial"/>
          <w:color w:val="000000"/>
          <w:lang w:eastAsia="en-US"/>
        </w:rPr>
        <w:t>o</w:t>
      </w:r>
      <w:r w:rsidRPr="001018A1">
        <w:rPr>
          <w:rFonts w:cs="Arial"/>
          <w:color w:val="000000"/>
          <w:lang w:eastAsia="en-US"/>
        </w:rPr>
        <w:t>pštini ima 37,5 t.</w:t>
      </w:r>
    </w:p>
    <w:p w:rsidR="00917616" w:rsidRPr="001018A1" w:rsidRDefault="00917616" w:rsidP="00E7415E">
      <w:pPr>
        <w:spacing w:line="276" w:lineRule="auto"/>
        <w:rPr>
          <w:rFonts w:cs="Arial"/>
        </w:rPr>
      </w:pPr>
      <w:r w:rsidRPr="001018A1">
        <w:rPr>
          <w:rFonts w:cs="Arial"/>
        </w:rPr>
        <w:t>Raspoloživi energetski potencijal otpadne biomase (namenjene direktnom sagorevanju</w:t>
      </w:r>
      <w:r w:rsidRPr="001018A1">
        <w:rPr>
          <w:rFonts w:cs="Arial"/>
          <w:color w:val="FF0000"/>
        </w:rPr>
        <w:t xml:space="preserve"> </w:t>
      </w:r>
      <w:r w:rsidRPr="001018A1">
        <w:rPr>
          <w:rFonts w:cs="Arial"/>
        </w:rPr>
        <w:t>i proizvodnji biogasa) iz industrije na godišnjem nivou iznose 5.366,1 GJ.</w:t>
      </w:r>
    </w:p>
    <w:p w:rsidR="00917616" w:rsidRPr="001018A1" w:rsidRDefault="00917616" w:rsidP="00E7415E">
      <w:pPr>
        <w:spacing w:line="276" w:lineRule="auto"/>
        <w:rPr>
          <w:rFonts w:cs="Arial"/>
        </w:rPr>
      </w:pPr>
      <w:r w:rsidRPr="001018A1">
        <w:rPr>
          <w:rFonts w:cs="Arial"/>
          <w:color w:val="000000"/>
          <w:lang w:eastAsia="en-US"/>
        </w:rPr>
        <w:t xml:space="preserve">U </w:t>
      </w:r>
      <w:r>
        <w:rPr>
          <w:rFonts w:cs="Arial"/>
          <w:color w:val="000000"/>
          <w:lang w:eastAsia="en-US"/>
        </w:rPr>
        <w:t>o</w:t>
      </w:r>
      <w:r w:rsidRPr="001018A1">
        <w:rPr>
          <w:rFonts w:cs="Arial"/>
          <w:color w:val="000000"/>
          <w:lang w:eastAsia="en-US"/>
        </w:rPr>
        <w:t>pštini nema izgrađenih pogona za proizvodnju biogoriva iz čvrstih ostataka poljoprivredne proizvodnje, kao što su postrojenja za peletiranje, briketiranje i sl.</w:t>
      </w:r>
    </w:p>
    <w:p w:rsidR="00917616" w:rsidRPr="001018A1" w:rsidRDefault="00917616" w:rsidP="00E7415E">
      <w:pPr>
        <w:spacing w:line="276" w:lineRule="auto"/>
        <w:rPr>
          <w:rFonts w:cs="Arial"/>
        </w:rPr>
      </w:pPr>
      <w:r w:rsidRPr="001018A1">
        <w:rPr>
          <w:rFonts w:cs="Arial"/>
        </w:rPr>
        <w:t xml:space="preserve">Značajni resurs biomase od kojeg je moguće produkovati energiju u poljoprivrednoj proizvodnji predstavlja stajnjak. </w:t>
      </w:r>
    </w:p>
    <w:p w:rsidR="00917616" w:rsidRPr="001018A1" w:rsidRDefault="00917616" w:rsidP="00E7415E">
      <w:pPr>
        <w:spacing w:line="276" w:lineRule="auto"/>
        <w:rPr>
          <w:rFonts w:cs="Arial"/>
        </w:rPr>
      </w:pPr>
      <w:r w:rsidRPr="001018A1">
        <w:rPr>
          <w:rFonts w:cs="Arial"/>
        </w:rPr>
        <w:t>Stočarska proizvodnja daje velike količine ostataka biomase, tj. stajnjaka. U opštini Petrovac na Mlavi se prema popisu poljoprivrede od 2012 godine i podacima uprave za veterinu gaje sledeće životinje: krave (</w:t>
      </w:r>
      <w:r w:rsidRPr="001018A1">
        <w:rPr>
          <w:rFonts w:cs="Arial"/>
          <w:color w:val="000000"/>
        </w:rPr>
        <w:t>4.949</w:t>
      </w:r>
      <w:r w:rsidRPr="001018A1">
        <w:rPr>
          <w:rFonts w:cs="Arial"/>
        </w:rPr>
        <w:t xml:space="preserve"> kom), tovna goveda (</w:t>
      </w:r>
      <w:r w:rsidRPr="001018A1">
        <w:rPr>
          <w:rFonts w:cs="Arial"/>
          <w:color w:val="000000"/>
        </w:rPr>
        <w:t xml:space="preserve">3.871 </w:t>
      </w:r>
      <w:r w:rsidRPr="001018A1">
        <w:rPr>
          <w:rFonts w:cs="Arial"/>
        </w:rPr>
        <w:t>kom), svinje (</w:t>
      </w:r>
      <w:r w:rsidRPr="001018A1">
        <w:rPr>
          <w:rFonts w:cs="Arial"/>
          <w:color w:val="000000"/>
        </w:rPr>
        <w:t xml:space="preserve">64.558 </w:t>
      </w:r>
      <w:r w:rsidRPr="001018A1">
        <w:rPr>
          <w:rFonts w:cs="Arial"/>
        </w:rPr>
        <w:t>kom), ovce (</w:t>
      </w:r>
      <w:r w:rsidRPr="001018A1">
        <w:rPr>
          <w:rFonts w:cs="Arial"/>
          <w:color w:val="000000"/>
        </w:rPr>
        <w:t xml:space="preserve">62 </w:t>
      </w:r>
      <w:r w:rsidRPr="001018A1">
        <w:rPr>
          <w:rFonts w:cs="Arial"/>
        </w:rPr>
        <w:t>kom), koze (</w:t>
      </w:r>
      <w:r w:rsidRPr="001018A1">
        <w:rPr>
          <w:rFonts w:cs="Arial"/>
          <w:color w:val="000000"/>
        </w:rPr>
        <w:t>1.972</w:t>
      </w:r>
      <w:r w:rsidRPr="001018A1">
        <w:rPr>
          <w:rFonts w:cs="Arial"/>
        </w:rPr>
        <w:t xml:space="preserve"> kom), konji (</w:t>
      </w:r>
      <w:r w:rsidRPr="001018A1">
        <w:rPr>
          <w:rFonts w:cs="Arial"/>
          <w:color w:val="000000"/>
        </w:rPr>
        <w:t>58</w:t>
      </w:r>
      <w:r w:rsidRPr="001018A1">
        <w:rPr>
          <w:rFonts w:cs="Arial"/>
        </w:rPr>
        <w:t xml:space="preserve"> kom) i živina (</w:t>
      </w:r>
      <w:r w:rsidRPr="001018A1">
        <w:rPr>
          <w:rFonts w:cs="Arial"/>
          <w:color w:val="000000"/>
        </w:rPr>
        <w:t>300.855</w:t>
      </w:r>
      <w:r w:rsidRPr="001018A1">
        <w:rPr>
          <w:rFonts w:cs="Arial"/>
        </w:rPr>
        <w:t xml:space="preserve"> kom). </w:t>
      </w:r>
    </w:p>
    <w:p w:rsidR="00917616" w:rsidRPr="001018A1" w:rsidRDefault="00917616" w:rsidP="00E7415E">
      <w:pPr>
        <w:spacing w:line="276" w:lineRule="auto"/>
        <w:rPr>
          <w:rFonts w:cs="Arial"/>
        </w:rPr>
      </w:pPr>
      <w:r w:rsidRPr="001018A1">
        <w:rPr>
          <w:rFonts w:cs="Arial"/>
        </w:rPr>
        <w:t>Ukupna produkcija stajnjaka u sistemu prikupljanja navedenih vrsta životinja sa prosečnom starošću u opštini Petrovac na Mlavi iznosi 211.215,1 t/god. U skladu sa ekspertskim procenama koji deo životinja se gaji u sistemu sa prikupljanjem stajnjaka raspoloživa masa stajnjaka koju je moguće prikupljati iznosi 175.786,4 t/god. Masa suve materije kod prikupljenog stajnjaka iznosi 53,4 t/dan. Taj podatak je bitan, pošto se na osnovu njega može odrediti potencijalna produkcija biogasa, a samim tim i energije koja se može njegovim sagorevanjem (direktno ili u SUS motorima) dobiti.</w:t>
      </w:r>
    </w:p>
    <w:p w:rsidR="00917616" w:rsidRPr="001018A1" w:rsidRDefault="00917616" w:rsidP="00E7415E">
      <w:pPr>
        <w:spacing w:line="276" w:lineRule="auto"/>
        <w:rPr>
          <w:rFonts w:cs="Arial"/>
        </w:rPr>
      </w:pPr>
      <w:r w:rsidRPr="001018A1">
        <w:rPr>
          <w:rFonts w:cs="Arial"/>
        </w:rPr>
        <w:t>Na osnovu ekspertske procene utvrđen je broj gajenih životinja u sistemu sa prostirkom. Na taj način je uz definisanu prosečnu masu prostirke (koja je najčešće od pšenične slame) određena i masa biljnih ostataka koji će se kao prostirka koristiti u stočarstvu i samim tim neće moći da se koriste za produkciju energije.</w:t>
      </w:r>
    </w:p>
    <w:p w:rsidR="00917616" w:rsidRPr="00BE4401" w:rsidRDefault="00917616" w:rsidP="00E7415E">
      <w:pPr>
        <w:spacing w:line="276" w:lineRule="auto"/>
        <w:rPr>
          <w:rFonts w:cs="Arial"/>
          <w:lang w:val="pl-PL"/>
        </w:rPr>
      </w:pPr>
      <w:r w:rsidRPr="00BE4401">
        <w:rPr>
          <w:rFonts w:cs="Arial"/>
          <w:lang w:val="pl-PL"/>
        </w:rPr>
        <w:t>Potencijali u proizvodnji stajnjaka, biogasa i produkovane energije stočarske proizvodnje su prikazani u tabeli 4.</w:t>
      </w:r>
    </w:p>
    <w:p w:rsidR="00917616" w:rsidRPr="00BE4401" w:rsidRDefault="00917616" w:rsidP="00E7415E">
      <w:pPr>
        <w:spacing w:line="276" w:lineRule="auto"/>
        <w:rPr>
          <w:rFonts w:cs="Arial"/>
          <w:lang w:val="pl-PL"/>
        </w:rPr>
      </w:pPr>
    </w:p>
    <w:p w:rsidR="00917616" w:rsidRPr="00BE4401" w:rsidRDefault="00917616" w:rsidP="00E7415E">
      <w:pPr>
        <w:spacing w:line="276" w:lineRule="auto"/>
        <w:jc w:val="center"/>
        <w:rPr>
          <w:rFonts w:cs="Arial"/>
          <w:lang w:val="pl-PL"/>
        </w:rPr>
      </w:pPr>
      <w:r w:rsidRPr="00BE4401">
        <w:rPr>
          <w:rFonts w:cs="Arial"/>
          <w:lang w:val="pl-PL"/>
        </w:rPr>
        <w:t>Tabela 4: Potencijali u proizvodnji stajnjaka, biogasa i produkovane energije stočarske proizvodnje</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654"/>
        <w:gridCol w:w="1439"/>
        <w:gridCol w:w="1417"/>
        <w:gridCol w:w="1134"/>
        <w:gridCol w:w="1843"/>
        <w:gridCol w:w="1418"/>
        <w:gridCol w:w="1417"/>
      </w:tblGrid>
      <w:tr w:rsidR="00917616" w:rsidRPr="00786508" w:rsidTr="00786508">
        <w:tc>
          <w:tcPr>
            <w:tcW w:w="654" w:type="dxa"/>
            <w:vAlign w:val="center"/>
          </w:tcPr>
          <w:p w:rsidR="00917616" w:rsidRPr="00786508" w:rsidRDefault="00917616" w:rsidP="00786508">
            <w:pPr>
              <w:overflowPunct/>
              <w:autoSpaceDE/>
              <w:autoSpaceDN/>
              <w:adjustRightInd/>
              <w:spacing w:line="276" w:lineRule="auto"/>
              <w:ind w:left="-19" w:right="-129"/>
              <w:jc w:val="center"/>
              <w:textAlignment w:val="auto"/>
              <w:rPr>
                <w:rFonts w:cs="Arial"/>
                <w:b/>
                <w:color w:val="000000"/>
                <w:lang w:eastAsia="en-US"/>
              </w:rPr>
            </w:pPr>
            <w:r w:rsidRPr="00786508">
              <w:rPr>
                <w:rFonts w:cs="Arial"/>
                <w:color w:val="000000"/>
                <w:lang w:eastAsia="en-US"/>
              </w:rPr>
              <w:t>Red. br.</w:t>
            </w:r>
          </w:p>
        </w:tc>
        <w:tc>
          <w:tcPr>
            <w:tcW w:w="1439"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Vrsta gajenih životinja</w:t>
            </w:r>
          </w:p>
        </w:tc>
        <w:tc>
          <w:tcPr>
            <w:tcW w:w="1417" w:type="dxa"/>
            <w:vAlign w:val="center"/>
          </w:tcPr>
          <w:p w:rsidR="00917616" w:rsidRPr="00BE4401" w:rsidRDefault="00917616" w:rsidP="00786508">
            <w:pPr>
              <w:overflowPunct/>
              <w:autoSpaceDE/>
              <w:autoSpaceDN/>
              <w:adjustRightInd/>
              <w:spacing w:line="276" w:lineRule="auto"/>
              <w:jc w:val="center"/>
              <w:textAlignment w:val="auto"/>
              <w:rPr>
                <w:rFonts w:cs="Arial"/>
                <w:b/>
                <w:color w:val="000000"/>
                <w:lang w:val="pl-PL" w:eastAsia="en-US"/>
              </w:rPr>
            </w:pPr>
            <w:r w:rsidRPr="00BE4401">
              <w:rPr>
                <w:rFonts w:cs="Arial"/>
                <w:color w:val="000000"/>
                <w:lang w:val="pl-PL" w:eastAsia="en-US"/>
              </w:rPr>
              <w:t>Ukupna količina stajnjaka u sistemu prikupljanja</w:t>
            </w:r>
          </w:p>
        </w:tc>
        <w:tc>
          <w:tcPr>
            <w:tcW w:w="1134" w:type="dxa"/>
            <w:vAlign w:val="center"/>
          </w:tcPr>
          <w:p w:rsidR="00917616" w:rsidRPr="00786508" w:rsidRDefault="00917616" w:rsidP="00786508">
            <w:pPr>
              <w:overflowPunct/>
              <w:autoSpaceDE/>
              <w:autoSpaceDN/>
              <w:adjustRightInd/>
              <w:spacing w:line="276" w:lineRule="auto"/>
              <w:ind w:left="-149" w:right="-107"/>
              <w:jc w:val="center"/>
              <w:textAlignment w:val="auto"/>
              <w:rPr>
                <w:rFonts w:cs="Arial"/>
                <w:b/>
                <w:color w:val="000000"/>
                <w:lang w:eastAsia="en-US"/>
              </w:rPr>
            </w:pPr>
            <w:r w:rsidRPr="00786508">
              <w:rPr>
                <w:rFonts w:cs="Arial"/>
                <w:color w:val="000000"/>
                <w:lang w:eastAsia="en-US"/>
              </w:rPr>
              <w:t>Udeo u proizvodnji stajnjaka</w:t>
            </w:r>
          </w:p>
        </w:tc>
        <w:tc>
          <w:tcPr>
            <w:tcW w:w="1843" w:type="dxa"/>
            <w:vAlign w:val="center"/>
          </w:tcPr>
          <w:p w:rsidR="00917616" w:rsidRPr="00786508" w:rsidRDefault="00917616" w:rsidP="00786508">
            <w:pPr>
              <w:overflowPunct/>
              <w:autoSpaceDE/>
              <w:autoSpaceDN/>
              <w:adjustRightInd/>
              <w:spacing w:line="276" w:lineRule="auto"/>
              <w:ind w:left="-109" w:right="-107"/>
              <w:jc w:val="center"/>
              <w:textAlignment w:val="auto"/>
              <w:rPr>
                <w:rFonts w:cs="Arial"/>
                <w:b/>
                <w:color w:val="000000"/>
                <w:lang w:eastAsia="en-US"/>
              </w:rPr>
            </w:pPr>
            <w:r w:rsidRPr="00786508">
              <w:rPr>
                <w:rFonts w:cs="Arial"/>
                <w:color w:val="000000"/>
                <w:lang w:eastAsia="en-US"/>
              </w:rPr>
              <w:t>Ukupna količina stajnjaka sa prostirkom koja se može prikupiti</w:t>
            </w:r>
          </w:p>
        </w:tc>
        <w:tc>
          <w:tcPr>
            <w:tcW w:w="1418" w:type="dxa"/>
            <w:vAlign w:val="center"/>
          </w:tcPr>
          <w:p w:rsidR="00917616" w:rsidRPr="00786508" w:rsidRDefault="00917616" w:rsidP="00786508">
            <w:pPr>
              <w:overflowPunct/>
              <w:autoSpaceDE/>
              <w:autoSpaceDN/>
              <w:adjustRightInd/>
              <w:spacing w:line="276" w:lineRule="auto"/>
              <w:ind w:left="-108" w:right="-108"/>
              <w:jc w:val="center"/>
              <w:textAlignment w:val="auto"/>
              <w:rPr>
                <w:rFonts w:cs="Arial"/>
                <w:b/>
                <w:color w:val="000000"/>
                <w:lang w:eastAsia="en-US"/>
              </w:rPr>
            </w:pPr>
            <w:r w:rsidRPr="00786508">
              <w:rPr>
                <w:rFonts w:cs="Arial"/>
                <w:color w:val="000000"/>
                <w:lang w:eastAsia="en-US"/>
              </w:rPr>
              <w:t>Potencijalna količina proizvedenog biogasa</w:t>
            </w:r>
          </w:p>
        </w:tc>
        <w:tc>
          <w:tcPr>
            <w:tcW w:w="1417" w:type="dxa"/>
            <w:vAlign w:val="center"/>
          </w:tcPr>
          <w:p w:rsidR="00917616" w:rsidRPr="00786508" w:rsidRDefault="00917616" w:rsidP="00786508">
            <w:pPr>
              <w:overflowPunct/>
              <w:autoSpaceDE/>
              <w:autoSpaceDN/>
              <w:adjustRightInd/>
              <w:spacing w:line="276" w:lineRule="auto"/>
              <w:jc w:val="center"/>
              <w:textAlignment w:val="auto"/>
              <w:rPr>
                <w:rFonts w:cs="Arial"/>
                <w:b/>
                <w:color w:val="000000"/>
                <w:lang w:eastAsia="en-US"/>
              </w:rPr>
            </w:pPr>
            <w:r w:rsidRPr="00786508">
              <w:rPr>
                <w:rFonts w:cs="Arial"/>
                <w:color w:val="000000"/>
                <w:lang w:eastAsia="en-US"/>
              </w:rPr>
              <w:t>Ukupan energetski potencijal</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w:t>
            </w:r>
          </w:p>
        </w:tc>
        <w:tc>
          <w:tcPr>
            <w:tcW w:w="1439" w:type="dxa"/>
            <w:vAlign w:val="center"/>
          </w:tcPr>
          <w:p w:rsidR="00917616" w:rsidRPr="00786508" w:rsidRDefault="00917616" w:rsidP="00786508">
            <w:pPr>
              <w:overflowPunct/>
              <w:autoSpaceDE/>
              <w:autoSpaceDN/>
              <w:adjustRightInd/>
              <w:spacing w:line="276" w:lineRule="auto"/>
              <w:ind w:left="-109" w:right="-90"/>
              <w:jc w:val="center"/>
              <w:textAlignment w:val="auto"/>
              <w:rPr>
                <w:rFonts w:cs="Arial"/>
                <w:color w:val="000000"/>
                <w:lang w:eastAsia="en-US"/>
              </w:rPr>
            </w:pPr>
            <w:r w:rsidRPr="00786508">
              <w:rPr>
                <w:rFonts w:cs="Arial"/>
                <w:color w:val="000000"/>
                <w:lang w:eastAsia="en-US"/>
              </w:rPr>
              <w:t>-</w:t>
            </w:r>
          </w:p>
        </w:tc>
        <w:tc>
          <w:tcPr>
            <w:tcW w:w="1417" w:type="dxa"/>
            <w:vAlign w:val="center"/>
          </w:tcPr>
          <w:p w:rsidR="00917616" w:rsidRPr="00786508" w:rsidRDefault="00917616" w:rsidP="00786508">
            <w:pPr>
              <w:spacing w:line="276" w:lineRule="auto"/>
              <w:jc w:val="center"/>
              <w:rPr>
                <w:rFonts w:cs="Arial"/>
                <w:color w:val="000000"/>
                <w:lang w:eastAsia="en-US"/>
              </w:rPr>
            </w:pPr>
            <w:r w:rsidRPr="00786508">
              <w:rPr>
                <w:rFonts w:cs="Arial"/>
                <w:color w:val="000000"/>
                <w:lang w:eastAsia="en-US"/>
              </w:rPr>
              <w:t>(t/god)</w:t>
            </w:r>
          </w:p>
        </w:tc>
        <w:tc>
          <w:tcPr>
            <w:tcW w:w="1134" w:type="dxa"/>
            <w:vAlign w:val="center"/>
          </w:tcPr>
          <w:p w:rsidR="00917616" w:rsidRPr="00786508" w:rsidRDefault="00917616" w:rsidP="00786508">
            <w:pPr>
              <w:spacing w:line="276" w:lineRule="auto"/>
              <w:jc w:val="center"/>
              <w:rPr>
                <w:rFonts w:cs="Arial"/>
              </w:rPr>
            </w:pPr>
            <w:r w:rsidRPr="00786508">
              <w:rPr>
                <w:rFonts w:cs="Arial"/>
              </w:rPr>
              <w:t>(%)</w:t>
            </w:r>
          </w:p>
        </w:tc>
        <w:tc>
          <w:tcPr>
            <w:tcW w:w="1843" w:type="dxa"/>
            <w:vAlign w:val="center"/>
          </w:tcPr>
          <w:p w:rsidR="00917616" w:rsidRPr="00786508" w:rsidRDefault="00917616" w:rsidP="00786508">
            <w:pPr>
              <w:spacing w:line="276" w:lineRule="auto"/>
              <w:jc w:val="center"/>
              <w:rPr>
                <w:rFonts w:cs="Arial"/>
              </w:rPr>
            </w:pPr>
            <w:r w:rsidRPr="00786508">
              <w:rPr>
                <w:rFonts w:cs="Arial"/>
                <w:color w:val="000000"/>
                <w:lang w:eastAsia="en-US"/>
              </w:rPr>
              <w:t>(t/god)</w:t>
            </w:r>
          </w:p>
        </w:tc>
        <w:tc>
          <w:tcPr>
            <w:tcW w:w="1418" w:type="dxa"/>
            <w:vAlign w:val="center"/>
          </w:tcPr>
          <w:p w:rsidR="00917616" w:rsidRPr="00786508" w:rsidRDefault="00917616" w:rsidP="00786508">
            <w:pPr>
              <w:spacing w:line="276" w:lineRule="auto"/>
              <w:jc w:val="center"/>
              <w:rPr>
                <w:rFonts w:cs="Arial"/>
              </w:rPr>
            </w:pPr>
            <w:r w:rsidRPr="00786508">
              <w:rPr>
                <w:rFonts w:cs="Arial"/>
              </w:rPr>
              <w:t>(</w:t>
            </w:r>
            <w:r w:rsidRPr="00786508">
              <w:rPr>
                <w:rFonts w:cs="Arial"/>
                <w:vertAlign w:val="subscript"/>
              </w:rPr>
              <w:t>n</w:t>
            </w:r>
            <w:r w:rsidRPr="00786508">
              <w:rPr>
                <w:rFonts w:cs="Arial"/>
              </w:rPr>
              <w:t>m</w:t>
            </w:r>
            <w:r w:rsidRPr="00786508">
              <w:rPr>
                <w:rFonts w:cs="Arial"/>
                <w:vertAlign w:val="superscript"/>
              </w:rPr>
              <w:t>3</w:t>
            </w:r>
            <w:r w:rsidRPr="00786508">
              <w:rPr>
                <w:rFonts w:cs="Arial"/>
              </w:rPr>
              <w:t>/god)</w:t>
            </w:r>
          </w:p>
        </w:tc>
        <w:tc>
          <w:tcPr>
            <w:tcW w:w="1417" w:type="dxa"/>
            <w:vAlign w:val="center"/>
          </w:tcPr>
          <w:p w:rsidR="00917616" w:rsidRPr="00786508" w:rsidRDefault="00917616" w:rsidP="00786508">
            <w:pPr>
              <w:spacing w:line="276" w:lineRule="auto"/>
              <w:jc w:val="center"/>
              <w:rPr>
                <w:rFonts w:cs="Arial"/>
              </w:rPr>
            </w:pPr>
            <w:r w:rsidRPr="00786508">
              <w:rPr>
                <w:rFonts w:cs="Arial"/>
              </w:rPr>
              <w:t>(GJ)</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1</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 xml:space="preserve">Krave </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54.625,1</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31,07</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58.093,3</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716.954,2</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15.486,2</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2</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Goveda</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22.253,4</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12,66</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23.499,6</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305.494,8</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6.598,7</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3</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Svinje</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90.885,1</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51,70</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90.885,1</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2.458.259,5</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52.852,6</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4</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Ovce</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0,00</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5</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Koze</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0,00</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0,0</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6</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Konji</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412,8</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0,23</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476,3</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6.439,9</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141,7</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r w:rsidRPr="00786508">
              <w:rPr>
                <w:rFonts w:cs="Arial"/>
              </w:rPr>
              <w:t>7</w:t>
            </w:r>
          </w:p>
        </w:tc>
        <w:tc>
          <w:tcPr>
            <w:tcW w:w="1439" w:type="dxa"/>
            <w:vAlign w:val="center"/>
          </w:tcPr>
          <w:p w:rsidR="00917616" w:rsidRPr="00786508" w:rsidRDefault="00917616" w:rsidP="00786508">
            <w:pPr>
              <w:overflowPunct/>
              <w:autoSpaceDE/>
              <w:autoSpaceDN/>
              <w:adjustRightInd/>
              <w:spacing w:line="276" w:lineRule="auto"/>
              <w:jc w:val="left"/>
              <w:textAlignment w:val="auto"/>
              <w:rPr>
                <w:rFonts w:cs="Arial"/>
                <w:color w:val="000000"/>
                <w:lang w:eastAsia="en-US"/>
              </w:rPr>
            </w:pPr>
            <w:r w:rsidRPr="00786508">
              <w:rPr>
                <w:rFonts w:cs="Arial"/>
                <w:color w:val="000000"/>
                <w:lang w:eastAsia="en-US"/>
              </w:rPr>
              <w:t>Živina</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7.610,0</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4,33</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7.776,1</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230.704,1</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5.398,5</w:t>
            </w:r>
          </w:p>
        </w:tc>
      </w:tr>
      <w:tr w:rsidR="00917616" w:rsidRPr="00786508" w:rsidTr="00786508">
        <w:tc>
          <w:tcPr>
            <w:tcW w:w="654" w:type="dxa"/>
            <w:vAlign w:val="center"/>
          </w:tcPr>
          <w:p w:rsidR="00917616" w:rsidRPr="00786508" w:rsidRDefault="00917616" w:rsidP="00786508">
            <w:pPr>
              <w:spacing w:line="276" w:lineRule="auto"/>
              <w:jc w:val="center"/>
              <w:rPr>
                <w:rFonts w:cs="Arial"/>
                <w:b/>
              </w:rPr>
            </w:pPr>
          </w:p>
        </w:tc>
        <w:tc>
          <w:tcPr>
            <w:tcW w:w="1439" w:type="dxa"/>
            <w:vAlign w:val="center"/>
          </w:tcPr>
          <w:p w:rsidR="00917616" w:rsidRPr="00786508" w:rsidRDefault="00917616" w:rsidP="00786508">
            <w:pPr>
              <w:overflowPunct/>
              <w:autoSpaceDE/>
              <w:autoSpaceDN/>
              <w:adjustRightInd/>
              <w:spacing w:line="276" w:lineRule="auto"/>
              <w:ind w:left="-87"/>
              <w:jc w:val="center"/>
              <w:textAlignment w:val="auto"/>
              <w:rPr>
                <w:rFonts w:cs="Arial"/>
                <w:color w:val="000000"/>
                <w:lang w:eastAsia="en-US"/>
              </w:rPr>
            </w:pPr>
            <w:r w:rsidRPr="00786508">
              <w:rPr>
                <w:rFonts w:cs="Arial"/>
                <w:bCs/>
                <w:color w:val="000000"/>
                <w:lang w:eastAsia="en-US"/>
              </w:rPr>
              <w:t>UKUPNO</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175.786,4</w:t>
            </w:r>
          </w:p>
        </w:tc>
        <w:tc>
          <w:tcPr>
            <w:tcW w:w="1134"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100,00</w:t>
            </w:r>
          </w:p>
        </w:tc>
        <w:tc>
          <w:tcPr>
            <w:tcW w:w="1843"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180.730,4</w:t>
            </w:r>
          </w:p>
        </w:tc>
        <w:tc>
          <w:tcPr>
            <w:tcW w:w="1418"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3.717.852,5</w:t>
            </w:r>
          </w:p>
        </w:tc>
        <w:tc>
          <w:tcPr>
            <w:tcW w:w="1417" w:type="dxa"/>
            <w:vAlign w:val="center"/>
          </w:tcPr>
          <w:p w:rsidR="00917616" w:rsidRPr="00786508" w:rsidRDefault="00917616" w:rsidP="00786508">
            <w:pPr>
              <w:overflowPunct/>
              <w:autoSpaceDE/>
              <w:autoSpaceDN/>
              <w:adjustRightInd/>
              <w:spacing w:line="276" w:lineRule="auto"/>
              <w:ind w:right="66"/>
              <w:jc w:val="right"/>
              <w:textAlignment w:val="auto"/>
              <w:rPr>
                <w:rFonts w:cs="Arial"/>
                <w:bCs/>
                <w:color w:val="000000"/>
                <w:lang w:eastAsia="en-US"/>
              </w:rPr>
            </w:pPr>
            <w:r w:rsidRPr="00786508">
              <w:rPr>
                <w:rFonts w:cs="Arial"/>
                <w:bCs/>
                <w:color w:val="000000"/>
                <w:lang w:eastAsia="en-US"/>
              </w:rPr>
              <w:t>80.477,6</w:t>
            </w:r>
          </w:p>
        </w:tc>
      </w:tr>
    </w:tbl>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 xml:space="preserve">Najveću masu stajnjaka proizvode svinje 50,29% i goveda 45,15%. U svakom slučaju iako se radi o stoci koja se gaji u sistemima sa mogućnošću prikupljanja stajnjaka, sve količine stajnjaka u </w:t>
      </w:r>
      <w:r>
        <w:rPr>
          <w:rFonts w:cs="Arial"/>
        </w:rPr>
        <w:t>o</w:t>
      </w:r>
      <w:r w:rsidRPr="001018A1">
        <w:rPr>
          <w:rFonts w:cs="Arial"/>
        </w:rPr>
        <w:t>pštini je gotovo nemoguće na ekonomski isplativ način prikupiti, najviše usled usitnjenosti i disperzovanosti proizvodnje, navikama proizvođača i dr.</w:t>
      </w:r>
    </w:p>
    <w:p w:rsidR="00917616" w:rsidRPr="001018A1" w:rsidRDefault="00917616" w:rsidP="00E7415E">
      <w:pPr>
        <w:spacing w:line="276" w:lineRule="auto"/>
        <w:rPr>
          <w:rFonts w:cs="Arial"/>
        </w:rPr>
      </w:pPr>
      <w:r w:rsidRPr="001018A1">
        <w:rPr>
          <w:rFonts w:cs="Arial"/>
        </w:rPr>
        <w:t xml:space="preserve">Teoretski bi se od navedenih raspoloživih količina stajnjaka u adekvatnim uslovima na godišnjem nivou moglo proizvesti oko </w:t>
      </w:r>
      <w:r w:rsidRPr="001018A1">
        <w:rPr>
          <w:rFonts w:cs="Arial"/>
          <w:bCs/>
          <w:color w:val="000000"/>
          <w:lang w:eastAsia="en-US"/>
        </w:rPr>
        <w:t>3.717.852,5</w:t>
      </w:r>
      <w:r w:rsidRPr="001018A1">
        <w:rPr>
          <w:rFonts w:cs="Arial"/>
          <w:color w:val="000000"/>
          <w:lang w:eastAsia="en-US"/>
        </w:rPr>
        <w:t xml:space="preserve"> </w:t>
      </w:r>
      <w:r w:rsidRPr="001018A1">
        <w:rPr>
          <w:rFonts w:cs="Arial"/>
          <w:vertAlign w:val="subscript"/>
        </w:rPr>
        <w:t>n</w:t>
      </w:r>
      <w:r w:rsidRPr="001018A1">
        <w:rPr>
          <w:rFonts w:cs="Arial"/>
        </w:rPr>
        <w:t>m</w:t>
      </w:r>
      <w:r w:rsidRPr="001018A1">
        <w:rPr>
          <w:rFonts w:cs="Arial"/>
          <w:vertAlign w:val="superscript"/>
        </w:rPr>
        <w:t>3</w:t>
      </w:r>
      <w:r w:rsidRPr="001018A1">
        <w:rPr>
          <w:rFonts w:cs="Arial"/>
        </w:rPr>
        <w:t xml:space="preserve"> biogasa. Najviše biogasa se može proizvesti od stajnjaka svinja 66,12%, goveda 27,50% i živine 6,21%. </w:t>
      </w:r>
    </w:p>
    <w:p w:rsidR="00917616" w:rsidRPr="001018A1" w:rsidRDefault="00917616" w:rsidP="00E7415E">
      <w:pPr>
        <w:spacing w:line="276" w:lineRule="auto"/>
        <w:rPr>
          <w:rFonts w:cs="Arial"/>
        </w:rPr>
      </w:pPr>
      <w:r w:rsidRPr="001018A1">
        <w:rPr>
          <w:rFonts w:cs="Arial"/>
        </w:rPr>
        <w:t xml:space="preserve">Potencijali produkcije energije iz biogasa dobijenog iz stajnjaka na godišnjem nivou iznose </w:t>
      </w:r>
      <w:r w:rsidRPr="001018A1">
        <w:rPr>
          <w:rFonts w:cs="Arial"/>
          <w:bCs/>
          <w:color w:val="000000"/>
          <w:lang w:eastAsia="en-US"/>
        </w:rPr>
        <w:t xml:space="preserve">80.477,6 </w:t>
      </w:r>
      <w:r w:rsidRPr="001018A1">
        <w:rPr>
          <w:rFonts w:cs="Arial"/>
          <w:color w:val="000000"/>
          <w:lang w:eastAsia="en-US"/>
        </w:rPr>
        <w:t>GJ.</w:t>
      </w:r>
    </w:p>
    <w:p w:rsidR="00917616" w:rsidRPr="001018A1" w:rsidRDefault="00917616" w:rsidP="00E7415E">
      <w:pPr>
        <w:spacing w:line="276" w:lineRule="auto"/>
        <w:rPr>
          <w:rFonts w:cs="Arial"/>
          <w:b/>
        </w:rPr>
      </w:pPr>
    </w:p>
    <w:p w:rsidR="00917616" w:rsidRPr="001018A1" w:rsidRDefault="00917616" w:rsidP="00E7415E">
      <w:pPr>
        <w:spacing w:line="276" w:lineRule="auto"/>
        <w:rPr>
          <w:rFonts w:cs="Arial"/>
          <w:b/>
        </w:rPr>
      </w:pPr>
      <w:r w:rsidRPr="001018A1">
        <w:rPr>
          <w:rFonts w:cs="Arial"/>
          <w:b/>
        </w:rPr>
        <w:t>Bilans poljoprivredne biomase opštine Petrovac na Mlavi</w:t>
      </w:r>
    </w:p>
    <w:p w:rsidR="00917616" w:rsidRPr="001018A1" w:rsidRDefault="00917616" w:rsidP="00E7415E">
      <w:pPr>
        <w:spacing w:line="276" w:lineRule="auto"/>
        <w:rPr>
          <w:rFonts w:cs="Arial"/>
        </w:rPr>
      </w:pPr>
      <w:r w:rsidRPr="001018A1">
        <w:rPr>
          <w:rFonts w:cs="Arial"/>
        </w:rPr>
        <w:t xml:space="preserve">Za izradu bilansa poljoprivredne biomase opštine Petrovac na Mlavi korišćena je metodologija koja je uvažavala zvanične statističke podatke Republike Srbije, podatke iz dokumentacije stručnih službi </w:t>
      </w:r>
      <w:r>
        <w:rPr>
          <w:rFonts w:cs="Arial"/>
        </w:rPr>
        <w:t>o</w:t>
      </w:r>
      <w:r w:rsidRPr="001018A1">
        <w:rPr>
          <w:rFonts w:cs="Arial"/>
        </w:rPr>
        <w:t>pštine, interne materijale pojedinih poljoprivrednih preduzeća i zadruga, kao i podatke raznih domaćih i inostranih ekspertskih istraživanja i analiza dobijenih u dugogodišnjem radu na sličnoj problematici.</w:t>
      </w:r>
    </w:p>
    <w:p w:rsidR="00917616" w:rsidRDefault="00917616" w:rsidP="00E7415E">
      <w:pPr>
        <w:spacing w:line="276" w:lineRule="auto"/>
        <w:rPr>
          <w:rFonts w:cs="Arial"/>
        </w:rPr>
      </w:pPr>
    </w:p>
    <w:p w:rsidR="00917616" w:rsidRDefault="00917616" w:rsidP="00E7415E">
      <w:pPr>
        <w:spacing w:line="276" w:lineRule="auto"/>
        <w:rPr>
          <w:rFonts w:cs="Arial"/>
        </w:rPr>
      </w:pPr>
    </w:p>
    <w:p w:rsidR="00917616" w:rsidRPr="00E7415E" w:rsidRDefault="00917616" w:rsidP="00E7415E">
      <w:pPr>
        <w:spacing w:line="276" w:lineRule="auto"/>
        <w:rPr>
          <w:rFonts w:cs="Arial"/>
        </w:rPr>
      </w:pPr>
      <w:r w:rsidRPr="00E7415E">
        <w:rPr>
          <w:rFonts w:cs="Arial"/>
        </w:rPr>
        <w:t>Bilansiranje resursa biomase iz poljoprivredne proizvodnje u opštini je izvršeno preko odnosa:</w:t>
      </w:r>
    </w:p>
    <w:p w:rsidR="00917616" w:rsidRPr="00E7415E" w:rsidRDefault="00917616" w:rsidP="00BE4401">
      <w:pPr>
        <w:pStyle w:val="ListParagraph"/>
        <w:numPr>
          <w:ilvl w:val="1"/>
          <w:numId w:val="24"/>
        </w:numPr>
        <w:spacing w:line="276" w:lineRule="auto"/>
        <w:ind w:left="851" w:hanging="567"/>
        <w:rPr>
          <w:rFonts w:cs="Arial"/>
        </w:rPr>
      </w:pPr>
      <w:r w:rsidRPr="00E7415E">
        <w:rPr>
          <w:rFonts w:cs="Arial"/>
        </w:rPr>
        <w:t>Ukupno raspoložive biomase za sagorevanje - prema - ukupnoj potoršnji raspoloživih ostataka biomase za energiju dobijenu u procesima direktnog sagorevanja.</w:t>
      </w:r>
    </w:p>
    <w:p w:rsidR="00917616" w:rsidRPr="00E7415E" w:rsidRDefault="00917616" w:rsidP="00BE4401">
      <w:pPr>
        <w:pStyle w:val="ListParagraph"/>
        <w:numPr>
          <w:ilvl w:val="1"/>
          <w:numId w:val="24"/>
        </w:numPr>
        <w:spacing w:line="276" w:lineRule="auto"/>
        <w:ind w:left="851" w:hanging="567"/>
        <w:rPr>
          <w:rFonts w:cs="Arial"/>
        </w:rPr>
      </w:pPr>
      <w:r w:rsidRPr="00E7415E">
        <w:rPr>
          <w:rFonts w:cs="Arial"/>
        </w:rPr>
        <w:t>Ukupno raspolozive biomase za proizvodnju biogasa u procesima anaerobne fermentacije - prema - ukupnoj potrošnji biomase za proizvodnju biogasa i hrane za stoku.</w:t>
      </w:r>
    </w:p>
    <w:p w:rsidR="00917616" w:rsidRPr="00BE4401" w:rsidRDefault="00917616" w:rsidP="00E7415E">
      <w:pPr>
        <w:spacing w:line="276" w:lineRule="auto"/>
        <w:rPr>
          <w:rFonts w:cs="Arial"/>
          <w:lang w:val="pl-PL"/>
        </w:rPr>
      </w:pPr>
      <w:r w:rsidRPr="00BE4401">
        <w:rPr>
          <w:rFonts w:cs="Arial"/>
          <w:lang w:val="pl-PL"/>
        </w:rPr>
        <w:t>Izgled materijalno - energetskog bilansa ostataka biomase nastale u procesima poljoprivredne proizvodnje je prikazan u tabeli ispod.</w:t>
      </w:r>
    </w:p>
    <w:p w:rsidR="00917616" w:rsidRPr="00BE4401" w:rsidRDefault="00917616" w:rsidP="00E7415E">
      <w:pPr>
        <w:spacing w:line="276" w:lineRule="auto"/>
        <w:rPr>
          <w:rFonts w:cs="Arial"/>
          <w:lang w:val="pl-PL"/>
        </w:rPr>
      </w:pPr>
      <w:r w:rsidRPr="00BE4401">
        <w:rPr>
          <w:rFonts w:cs="Arial"/>
          <w:lang w:val="pl-PL"/>
        </w:rPr>
        <w:t xml:space="preserve">Tabela se sastoji iz dve celine od kojih leva strana tabele predstavlja raspoložive potencijale biomase, a desna mesta i obim korišćenja biomase. </w:t>
      </w:r>
    </w:p>
    <w:p w:rsidR="00917616" w:rsidRPr="00BE4401" w:rsidRDefault="00917616" w:rsidP="00E7415E">
      <w:pPr>
        <w:spacing w:line="276" w:lineRule="auto"/>
        <w:jc w:val="center"/>
        <w:rPr>
          <w:rFonts w:cs="Arial"/>
          <w:lang w:val="pl-PL"/>
        </w:rPr>
      </w:pPr>
    </w:p>
    <w:p w:rsidR="00917616" w:rsidRPr="00BE4401" w:rsidRDefault="00917616" w:rsidP="00E7415E">
      <w:pPr>
        <w:spacing w:line="276" w:lineRule="auto"/>
        <w:jc w:val="center"/>
        <w:rPr>
          <w:rFonts w:cs="Arial"/>
          <w:lang w:val="pl-PL"/>
        </w:rPr>
      </w:pPr>
      <w:r w:rsidRPr="00BE4401">
        <w:rPr>
          <w:rFonts w:cs="Arial"/>
          <w:lang w:val="pl-PL"/>
        </w:rPr>
        <w:t>Tabela 5: Bilans poljoprivredne biomase u opštini Petrovac na Mlavi</w:t>
      </w:r>
    </w:p>
    <w:p w:rsidR="00917616" w:rsidRPr="001018A1" w:rsidRDefault="00917616" w:rsidP="00E7415E">
      <w:pPr>
        <w:spacing w:line="276" w:lineRule="auto"/>
        <w:rPr>
          <w:rFonts w:cs="Arial"/>
        </w:rPr>
      </w:pPr>
      <w:r w:rsidRPr="007D6E9D">
        <w:rPr>
          <w:rFonts w:cs="Arial"/>
          <w:noProof/>
          <w:lang w:val="sr-Latn-CS" w:eastAsia="sr-Latn-CS"/>
        </w:rPr>
        <w:pict>
          <v:shape id="Picture 5" o:spid="_x0000_i1028" type="#_x0000_t75" alt="16_Petrovac na Mlavi_6_d_Bilans biomase TABELA.jpg" style="width:449.25pt;height:471pt;visibility:visible">
            <v:imagedata r:id="rId11" o:title=""/>
          </v:shape>
        </w:pict>
      </w:r>
    </w:p>
    <w:p w:rsidR="00917616" w:rsidRPr="001018A1" w:rsidRDefault="00917616" w:rsidP="00E7415E">
      <w:pPr>
        <w:spacing w:line="276" w:lineRule="auto"/>
        <w:rPr>
          <w:rFonts w:cs="Arial"/>
        </w:rPr>
      </w:pPr>
    </w:p>
    <w:p w:rsidR="00917616" w:rsidRDefault="00917616" w:rsidP="00E7415E">
      <w:pPr>
        <w:spacing w:line="276" w:lineRule="auto"/>
        <w:rPr>
          <w:rFonts w:cs="Arial"/>
          <w:b/>
        </w:rPr>
      </w:pPr>
    </w:p>
    <w:p w:rsidR="00917616" w:rsidRPr="001018A1" w:rsidRDefault="00917616" w:rsidP="00E7415E">
      <w:pPr>
        <w:spacing w:line="276" w:lineRule="auto"/>
        <w:rPr>
          <w:rFonts w:cs="Arial"/>
          <w:b/>
        </w:rPr>
      </w:pPr>
    </w:p>
    <w:p w:rsidR="00917616" w:rsidRDefault="00917616" w:rsidP="00E7415E">
      <w:pPr>
        <w:spacing w:line="276" w:lineRule="auto"/>
        <w:rPr>
          <w:rFonts w:cs="Arial"/>
          <w:b/>
        </w:rPr>
      </w:pPr>
    </w:p>
    <w:p w:rsidR="00917616" w:rsidRPr="001018A1" w:rsidRDefault="00917616" w:rsidP="00E7415E">
      <w:pPr>
        <w:spacing w:line="276" w:lineRule="auto"/>
        <w:rPr>
          <w:rFonts w:cs="Arial"/>
          <w:b/>
        </w:rPr>
      </w:pPr>
      <w:r w:rsidRPr="001018A1">
        <w:rPr>
          <w:rFonts w:cs="Arial"/>
          <w:b/>
        </w:rPr>
        <w:t>Raspoloživi potencijali biomase iz poljoprivrede</w:t>
      </w:r>
    </w:p>
    <w:p w:rsidR="00917616" w:rsidRPr="001018A1" w:rsidRDefault="00917616" w:rsidP="00E7415E">
      <w:pPr>
        <w:spacing w:line="276" w:lineRule="auto"/>
        <w:rPr>
          <w:rFonts w:cs="Arial"/>
        </w:rPr>
      </w:pPr>
      <w:r w:rsidRPr="001018A1">
        <w:rPr>
          <w:rFonts w:cs="Arial"/>
        </w:rPr>
        <w:t xml:space="preserve">Leva celina tabele (raspoloživi potencijali biomase) je takođe podeljena na dva dela. U gornjem delu su prikazani podaci potencijala koji se odnose na biomasu koja se može u daljoj transformaciji energija produkovati tehnologijama direktnog sagorevanja, dok su u donjem delu prikazani podaci potencijala biomase iz koje se biogas tehnologijama može proizvoditi biogas, pa se tek onda njegovim sagorevanjem dobijati energija. </w:t>
      </w:r>
    </w:p>
    <w:p w:rsidR="00917616" w:rsidRPr="001018A1" w:rsidRDefault="00917616" w:rsidP="00E7415E">
      <w:pPr>
        <w:spacing w:line="276" w:lineRule="auto"/>
        <w:rPr>
          <w:rFonts w:cs="Arial"/>
        </w:rPr>
      </w:pPr>
      <w:r w:rsidRPr="001018A1">
        <w:rPr>
          <w:rFonts w:cs="Arial"/>
        </w:rPr>
        <w:t>Udeli pojedinih vrsta biljnih ostataka (namenjenih direktnom sagorevanju) u godišnjim potencijalima ostataka biomase u opštini Petrovac na Mlavi su prikazani na grafikonu 2.</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7D6E9D">
        <w:rPr>
          <w:rFonts w:cs="Arial"/>
          <w:noProof/>
          <w:lang w:val="sr-Latn-CS" w:eastAsia="sr-Latn-CS"/>
        </w:rPr>
        <w:pict>
          <v:shape id="Picture 0" o:spid="_x0000_i1029" type="#_x0000_t75" alt="16_Petrovac na Mlavi_1_d_Potencijali SUVI.jpg" style="width:453pt;height:171.75pt;visibility:visible">
            <v:imagedata r:id="rId12" o:title=""/>
          </v:shape>
        </w:pict>
      </w:r>
    </w:p>
    <w:p w:rsidR="00917616" w:rsidRPr="001018A1" w:rsidRDefault="00917616" w:rsidP="00E7415E">
      <w:pPr>
        <w:spacing w:line="276" w:lineRule="auto"/>
        <w:rPr>
          <w:rFonts w:cs="Arial"/>
        </w:rPr>
      </w:pPr>
    </w:p>
    <w:p w:rsidR="00917616" w:rsidRPr="001018A1" w:rsidRDefault="00917616" w:rsidP="00E7415E">
      <w:pPr>
        <w:spacing w:line="276" w:lineRule="auto"/>
        <w:jc w:val="center"/>
        <w:rPr>
          <w:rFonts w:cs="Arial"/>
        </w:rPr>
      </w:pPr>
      <w:r w:rsidRPr="00F21910">
        <w:rPr>
          <w:rFonts w:cs="Arial"/>
        </w:rPr>
        <w:t xml:space="preserve">Grafikon 2: Udeli pojedinih vrsta biljnih ostataka (namenjenih direktnom sagorevanju) u godišnjim </w:t>
      </w:r>
      <w:r w:rsidRPr="001018A1">
        <w:rPr>
          <w:rFonts w:cs="Arial"/>
        </w:rPr>
        <w:t>potencijalima ostataka biomase u opštini Petrovac na Mlavi</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 xml:space="preserve">Udeo raspoložive biomase iz ratarsko-povrtarske proizvodnje (30% od stvarnog) je najveći kod resursa ostataka biomase namenjene direktnom sagorevanju i iznosi 94,4%. Najveći problemi u prikupljanju navedenih ostataka su povezani sa: velikom higroskopnošću biomase, disperzovanošću mesta nastajanja biomase i njenom malom nasipnom gustinom (skup transport), izgledu reljefa, nepostojanju adekvatnih saobraćajnica i dr. </w:t>
      </w:r>
    </w:p>
    <w:p w:rsidR="00917616" w:rsidRPr="00F21910" w:rsidRDefault="00917616" w:rsidP="00E7415E">
      <w:pPr>
        <w:spacing w:line="276" w:lineRule="auto"/>
        <w:rPr>
          <w:rFonts w:cs="Arial"/>
        </w:rPr>
      </w:pPr>
      <w:r w:rsidRPr="001018A1">
        <w:rPr>
          <w:rFonts w:cs="Arial"/>
        </w:rPr>
        <w:t xml:space="preserve">Udeli pojedinih vrsta ostataka biljnog i životinjskog porekla (namenjenih </w:t>
      </w:r>
      <w:r w:rsidRPr="00F21910">
        <w:rPr>
          <w:rFonts w:cs="Arial"/>
        </w:rPr>
        <w:t>proizvodnji biogasa) u godišnjim potencijalima ostataka biomase u opštini Petrovac na Mlavi su prikazani na grafikonu 3.</w:t>
      </w:r>
    </w:p>
    <w:p w:rsidR="00917616" w:rsidRPr="00F21910" w:rsidRDefault="00917616" w:rsidP="00E7415E">
      <w:pPr>
        <w:spacing w:line="276" w:lineRule="auto"/>
        <w:rPr>
          <w:rFonts w:cs="Arial"/>
        </w:rPr>
      </w:pPr>
    </w:p>
    <w:p w:rsidR="00917616" w:rsidRPr="001018A1" w:rsidRDefault="00917616" w:rsidP="00E7415E">
      <w:pPr>
        <w:spacing w:line="276" w:lineRule="auto"/>
        <w:rPr>
          <w:rFonts w:cs="Arial"/>
        </w:rPr>
      </w:pPr>
      <w:r w:rsidRPr="007D6E9D">
        <w:rPr>
          <w:rFonts w:cs="Arial"/>
          <w:noProof/>
          <w:lang w:val="sr-Latn-CS" w:eastAsia="sr-Latn-CS"/>
        </w:rPr>
        <w:pict>
          <v:shape id="Picture 1" o:spid="_x0000_i1030" type="#_x0000_t75" alt="16_Petrovac na Mlavi_2_d_Potencijali VLAZNI.jpg" style="width:447.75pt;height:171.75pt;visibility:visible">
            <v:imagedata r:id="rId13" o:title=""/>
          </v:shape>
        </w:pict>
      </w:r>
    </w:p>
    <w:p w:rsidR="00917616" w:rsidRPr="00F21910" w:rsidRDefault="00917616" w:rsidP="00E7415E">
      <w:pPr>
        <w:spacing w:line="276" w:lineRule="auto"/>
        <w:jc w:val="center"/>
        <w:rPr>
          <w:rFonts w:cs="Arial"/>
        </w:rPr>
      </w:pPr>
      <w:r w:rsidRPr="00F21910">
        <w:rPr>
          <w:rFonts w:cs="Arial"/>
        </w:rPr>
        <w:t>Grafikon 3: Udeli pojedinih vrsta ostataka biljnog i životinjskog porekla (namenjenih proizvodnji biogasa) u godišnjim potencijalima ostataka biomase u opštini Petrovac na Mlavi</w:t>
      </w:r>
    </w:p>
    <w:p w:rsidR="00917616" w:rsidRPr="00F21910" w:rsidRDefault="00917616" w:rsidP="00E7415E">
      <w:pPr>
        <w:spacing w:line="276" w:lineRule="auto"/>
        <w:rPr>
          <w:rFonts w:cs="Arial"/>
        </w:rPr>
      </w:pPr>
    </w:p>
    <w:p w:rsidR="00917616" w:rsidRPr="00BE4401" w:rsidRDefault="00917616" w:rsidP="00E7415E">
      <w:pPr>
        <w:spacing w:line="276" w:lineRule="auto"/>
        <w:rPr>
          <w:rFonts w:cs="Arial"/>
          <w:lang w:val="pl-PL"/>
        </w:rPr>
      </w:pPr>
      <w:r w:rsidRPr="00BE4401">
        <w:rPr>
          <w:rFonts w:cs="Arial"/>
          <w:lang w:val="pl-PL"/>
        </w:rPr>
        <w:t>U opštini najveći potencijal za proizvodnju biogasa predstavlja stajnjak sa udelom od 66,8%. Udeo biomase iz ratarske proizvodnje sa povećanom vlažnošću u opštini čini 33,2% potencijala, ali su te količine namenjene u ishrani stoke.</w:t>
      </w:r>
    </w:p>
    <w:p w:rsidR="00917616" w:rsidRPr="00BE4401" w:rsidRDefault="00917616" w:rsidP="00E7415E">
      <w:pPr>
        <w:spacing w:line="276" w:lineRule="auto"/>
        <w:rPr>
          <w:rFonts w:cs="Arial"/>
          <w:lang w:val="pl-PL"/>
        </w:rPr>
      </w:pPr>
    </w:p>
    <w:p w:rsidR="00917616" w:rsidRPr="00BE4401" w:rsidRDefault="00917616" w:rsidP="00E7415E">
      <w:pPr>
        <w:spacing w:line="276" w:lineRule="auto"/>
        <w:rPr>
          <w:rFonts w:cs="Arial"/>
          <w:b/>
          <w:lang w:val="pl-PL"/>
        </w:rPr>
      </w:pPr>
      <w:r w:rsidRPr="00BE4401">
        <w:rPr>
          <w:rFonts w:cs="Arial"/>
          <w:b/>
          <w:lang w:val="pl-PL"/>
        </w:rPr>
        <w:t>Potrošnja ostataka biomase</w:t>
      </w:r>
    </w:p>
    <w:p w:rsidR="00917616" w:rsidRPr="00BE4401" w:rsidRDefault="00917616" w:rsidP="00E7415E">
      <w:pPr>
        <w:spacing w:line="276" w:lineRule="auto"/>
        <w:rPr>
          <w:rFonts w:cs="Arial"/>
          <w:lang w:val="pl-PL"/>
        </w:rPr>
      </w:pPr>
      <w:r w:rsidRPr="00BE4401">
        <w:rPr>
          <w:rFonts w:cs="Arial"/>
          <w:lang w:val="pl-PL"/>
        </w:rPr>
        <w:t>Desna celina bilansa prikazuje potrošnju ostataka biomase iz poljoprivredne proizvodnje u opštini Petrovac na Mlavi sa dva aspekta. Kroz potrošnju ostataka biomase kao materijala i kroz potrošnju biomase sa ciljem produkovanja energije.</w:t>
      </w:r>
    </w:p>
    <w:p w:rsidR="00917616" w:rsidRPr="00BE4401" w:rsidRDefault="00917616" w:rsidP="00E7415E">
      <w:pPr>
        <w:spacing w:line="276" w:lineRule="auto"/>
        <w:rPr>
          <w:rFonts w:cs="Arial"/>
          <w:lang w:val="pl-PL"/>
        </w:rPr>
      </w:pPr>
      <w:r w:rsidRPr="00BE4401">
        <w:rPr>
          <w:rFonts w:cs="Arial"/>
          <w:lang w:val="pl-PL"/>
        </w:rPr>
        <w:t>Materijalni bilans ostataka biomase u opštini karakteriše težnja da se u maksimalnoj meri očuvaju potencijali zemljišta kao jednog od najvažnijih resursa poljoprivredne proizvodnje. Iz tog razloga je usvojeno da se 70% proizvedene biomase zaorava na parcelama na kojima je biomasa i nastala. U materijalnom pogledu 87.729,1 t ostataka biomase će se vratiti u zemljište zaoravanjem.</w:t>
      </w:r>
    </w:p>
    <w:p w:rsidR="00917616" w:rsidRPr="00BE4401" w:rsidRDefault="00917616" w:rsidP="00E7415E">
      <w:pPr>
        <w:spacing w:line="276" w:lineRule="auto"/>
        <w:rPr>
          <w:rFonts w:cs="Arial"/>
          <w:lang w:val="pl-PL"/>
        </w:rPr>
      </w:pPr>
      <w:r w:rsidRPr="00BE4401">
        <w:rPr>
          <w:rFonts w:cs="Arial"/>
          <w:lang w:val="pl-PL"/>
        </w:rPr>
        <w:t xml:space="preserve">Preostalih 134.858,3 t se može iznositi svake godine sa proizvodnih parcela. U opštini se u sadašnjem trenutku kao hrana za stoku troši 87.481,5 t ostataka biomase, a 4.944,1 t se troši kao prostirka. </w:t>
      </w:r>
    </w:p>
    <w:p w:rsidR="00917616" w:rsidRPr="00BE4401" w:rsidRDefault="00917616" w:rsidP="00E7415E">
      <w:pPr>
        <w:spacing w:line="276" w:lineRule="auto"/>
        <w:rPr>
          <w:rFonts w:cs="Arial"/>
          <w:lang w:val="pl-PL"/>
        </w:rPr>
      </w:pPr>
      <w:r w:rsidRPr="00BE4401">
        <w:rPr>
          <w:rFonts w:cs="Arial"/>
          <w:lang w:val="pl-PL"/>
        </w:rPr>
        <w:t>U opštini Petrovac na Mlavi se ostaci biomase kao biogorivo ne koriste za proizvodnju toplotne i električne energije osim u domaćinstvima gde se koristi 6.718,7 t oklaska kukuruza.</w:t>
      </w:r>
    </w:p>
    <w:p w:rsidR="00917616" w:rsidRPr="00BE4401" w:rsidRDefault="00917616" w:rsidP="00E7415E">
      <w:pPr>
        <w:spacing w:line="276" w:lineRule="auto"/>
        <w:rPr>
          <w:rFonts w:cs="Arial"/>
          <w:lang w:val="pl-PL"/>
        </w:rPr>
      </w:pPr>
      <w:r w:rsidRPr="00BE4401">
        <w:rPr>
          <w:rFonts w:cs="Arial"/>
          <w:lang w:val="pl-PL"/>
        </w:rPr>
        <w:t>Udeli u potrošnji ostataka biomase niske vlažnosti prema nameni na godišnjem nivou u opštini Petrovac na Mlavi su prikazani na grafikonu 4.</w:t>
      </w:r>
    </w:p>
    <w:p w:rsidR="00917616" w:rsidRPr="00BE4401" w:rsidRDefault="00917616" w:rsidP="00E7415E">
      <w:pPr>
        <w:spacing w:line="276" w:lineRule="auto"/>
        <w:jc w:val="center"/>
        <w:rPr>
          <w:rFonts w:cs="Arial"/>
          <w:noProof/>
          <w:lang w:val="pl-PL" w:eastAsia="en-US"/>
        </w:rPr>
      </w:pPr>
    </w:p>
    <w:p w:rsidR="00917616" w:rsidRPr="001018A1" w:rsidRDefault="00917616" w:rsidP="00E7415E">
      <w:pPr>
        <w:spacing w:line="276" w:lineRule="auto"/>
        <w:jc w:val="center"/>
        <w:rPr>
          <w:rFonts w:cs="Arial"/>
          <w:noProof/>
          <w:lang w:eastAsia="en-US"/>
        </w:rPr>
      </w:pPr>
      <w:r w:rsidRPr="007D6E9D">
        <w:rPr>
          <w:rFonts w:cs="Arial"/>
          <w:noProof/>
          <w:lang w:val="sr-Latn-CS" w:eastAsia="sr-Latn-CS"/>
        </w:rPr>
        <w:pict>
          <v:shape id="_x0000_i1031" type="#_x0000_t75" alt="16_Petrovac na Mlavi_3_d_Potrosnja SUVI.jpg" style="width:451.5pt;height:220.5pt;visibility:visible">
            <v:imagedata r:id="rId14" o:title=""/>
          </v:shape>
        </w:pict>
      </w:r>
    </w:p>
    <w:p w:rsidR="00917616" w:rsidRPr="001018A1" w:rsidRDefault="00917616" w:rsidP="00E7415E">
      <w:pPr>
        <w:spacing w:line="276" w:lineRule="auto"/>
        <w:jc w:val="center"/>
        <w:rPr>
          <w:rFonts w:cs="Arial"/>
        </w:rPr>
      </w:pPr>
      <w:r w:rsidRPr="00F21910">
        <w:rPr>
          <w:rFonts w:cs="Arial"/>
        </w:rPr>
        <w:t xml:space="preserve">Grafikon 4: Udeli u </w:t>
      </w:r>
      <w:r w:rsidRPr="001018A1">
        <w:rPr>
          <w:rFonts w:cs="Arial"/>
        </w:rPr>
        <w:t>potrošnji ostataka biomase niske vlažnosti prema nameni na godišnjem nivou u opštini Petrovac na Mlavi</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 xml:space="preserve">U </w:t>
      </w:r>
      <w:r>
        <w:rPr>
          <w:rFonts w:cs="Arial"/>
        </w:rPr>
        <w:t>o</w:t>
      </w:r>
      <w:r w:rsidRPr="001018A1">
        <w:rPr>
          <w:rFonts w:cs="Arial"/>
        </w:rPr>
        <w:t>pštini se najviše biomase iz poljoprivredne proizvodnje niže vlažnosti troši kao energent u domaćinstvima (57,6%) i kao prostirka u stočarstvu (42,4%).</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Udeli u potrošnji ostataka biomase više vlažnosti prema nameni na godišnjem nivou u opštini Petrovac na Mlavi su prikazani na grafikonu 5.</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7D6E9D">
        <w:rPr>
          <w:rFonts w:cs="Arial"/>
          <w:noProof/>
          <w:lang w:val="sr-Latn-CS" w:eastAsia="sr-Latn-CS"/>
        </w:rPr>
        <w:pict>
          <v:shape id="_x0000_i1032" type="#_x0000_t75" alt="16_Petrovac na Mlavi_4_d_Potrosnja VLAZNI.jpg" style="width:451.5pt;height:171.75pt;visibility:visible">
            <v:imagedata r:id="rId15" o:title=""/>
          </v:shape>
        </w:pict>
      </w:r>
    </w:p>
    <w:p w:rsidR="00917616" w:rsidRPr="00F21910" w:rsidRDefault="00917616" w:rsidP="00E7415E">
      <w:pPr>
        <w:spacing w:line="276" w:lineRule="auto"/>
        <w:jc w:val="center"/>
        <w:rPr>
          <w:rFonts w:cs="Arial"/>
        </w:rPr>
      </w:pPr>
      <w:r w:rsidRPr="00F21910">
        <w:rPr>
          <w:rFonts w:cs="Arial"/>
        </w:rPr>
        <w:t>Grafikon 5: Udeli u potrošnji ostataka biomase više vlažnosti prema nameni na godišnjem nivou u opštini Petrovac na Mlavi</w:t>
      </w:r>
    </w:p>
    <w:p w:rsidR="00917616" w:rsidRPr="00F21910"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Najveći deo ostataka biomase povišene vlažnosti se koristi kao hrana za stoku.</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1018A1">
        <w:rPr>
          <w:rFonts w:cs="Arial"/>
        </w:rPr>
        <w:t xml:space="preserve">Komparativni prikaz potencijala i potrošnje ostataka biomase u opštini Petrovac na Mlavi je prikazan </w:t>
      </w:r>
      <w:r w:rsidRPr="002A4FF9">
        <w:rPr>
          <w:rFonts w:cs="Arial"/>
        </w:rPr>
        <w:t xml:space="preserve">na </w:t>
      </w:r>
      <w:r>
        <w:rPr>
          <w:rFonts w:cs="Arial"/>
        </w:rPr>
        <w:t>grafikonu 6</w:t>
      </w:r>
      <w:r w:rsidRPr="002A4FF9">
        <w:rPr>
          <w:rFonts w:cs="Arial"/>
        </w:rPr>
        <w:t>.</w:t>
      </w:r>
    </w:p>
    <w:p w:rsidR="00917616" w:rsidRPr="001018A1" w:rsidRDefault="00917616" w:rsidP="00E7415E">
      <w:pPr>
        <w:spacing w:line="276" w:lineRule="auto"/>
        <w:rPr>
          <w:rFonts w:cs="Arial"/>
        </w:rPr>
      </w:pPr>
    </w:p>
    <w:p w:rsidR="00917616" w:rsidRPr="001018A1" w:rsidRDefault="00917616" w:rsidP="00E7415E">
      <w:pPr>
        <w:spacing w:line="276" w:lineRule="auto"/>
        <w:rPr>
          <w:rFonts w:cs="Arial"/>
        </w:rPr>
      </w:pPr>
      <w:r w:rsidRPr="007D6E9D">
        <w:rPr>
          <w:rFonts w:cs="Arial"/>
          <w:noProof/>
          <w:lang w:val="sr-Latn-CS" w:eastAsia="sr-Latn-CS"/>
        </w:rPr>
        <w:pict>
          <v:shape id="_x0000_i1033" type="#_x0000_t75" alt="16_Petrovac na Mlavi_5_d_PRIKAZ ODNOSA U BILANSU.jpg" style="width:453.75pt;height:173.25pt;visibility:visible">
            <v:imagedata r:id="rId16" o:title=""/>
          </v:shape>
        </w:pict>
      </w:r>
    </w:p>
    <w:p w:rsidR="00917616" w:rsidRDefault="00917616" w:rsidP="00E7415E">
      <w:pPr>
        <w:spacing w:line="276" w:lineRule="auto"/>
        <w:rPr>
          <w:rFonts w:cs="Arial"/>
          <w:color w:val="FF0000"/>
        </w:rPr>
      </w:pPr>
    </w:p>
    <w:p w:rsidR="00917616" w:rsidRPr="00BE4401" w:rsidRDefault="00917616" w:rsidP="00F21910">
      <w:pPr>
        <w:spacing w:line="276" w:lineRule="auto"/>
        <w:jc w:val="center"/>
        <w:rPr>
          <w:rFonts w:cs="Arial"/>
          <w:lang w:val="pl-PL"/>
        </w:rPr>
      </w:pPr>
      <w:r w:rsidRPr="00BE4401">
        <w:rPr>
          <w:rFonts w:cs="Arial"/>
          <w:lang w:val="pl-PL"/>
        </w:rPr>
        <w:t>Grafikon 6. Komparativni prikaz potencijala i potrošnje ostataka biomase u opštini Petrovac na Mlavi</w:t>
      </w:r>
    </w:p>
    <w:p w:rsidR="00917616" w:rsidRPr="00BE4401" w:rsidRDefault="00917616" w:rsidP="00E7415E">
      <w:pPr>
        <w:spacing w:line="276" w:lineRule="auto"/>
        <w:rPr>
          <w:rFonts w:cs="Arial"/>
          <w:lang w:val="pl-PL"/>
        </w:rPr>
      </w:pPr>
    </w:p>
    <w:p w:rsidR="00917616" w:rsidRPr="00BE4401" w:rsidRDefault="00917616" w:rsidP="00F21910">
      <w:pPr>
        <w:spacing w:line="276" w:lineRule="auto"/>
        <w:rPr>
          <w:rFonts w:cs="Arial"/>
          <w:lang w:val="pl-PL"/>
        </w:rPr>
      </w:pPr>
      <w:r w:rsidRPr="00BE4401">
        <w:rPr>
          <w:rFonts w:cs="Arial"/>
          <w:lang w:val="pl-PL"/>
        </w:rPr>
        <w:t>Prema prikupljenim podacima, najveći potencijal ostataka biomase u opštini se nalazi u ostacima biomase više vlažnosti.</w:t>
      </w:r>
    </w:p>
    <w:p w:rsidR="00917616" w:rsidRPr="00BE4401" w:rsidRDefault="00917616" w:rsidP="00E7415E">
      <w:pPr>
        <w:spacing w:line="276" w:lineRule="auto"/>
        <w:rPr>
          <w:b/>
          <w:i/>
          <w:lang w:val="pl-PL"/>
        </w:rPr>
      </w:pPr>
    </w:p>
    <w:p w:rsidR="00917616" w:rsidRPr="00BE4401" w:rsidRDefault="00917616" w:rsidP="00E7415E">
      <w:pPr>
        <w:spacing w:line="276" w:lineRule="auto"/>
        <w:rPr>
          <w:b/>
          <w:i/>
          <w:lang w:val="pl-PL"/>
        </w:rPr>
      </w:pPr>
      <w:r w:rsidRPr="00BE4401">
        <w:rPr>
          <w:b/>
          <w:i/>
          <w:lang w:val="pl-PL"/>
        </w:rPr>
        <w:t>ZAKLJUČAK</w:t>
      </w:r>
    </w:p>
    <w:p w:rsidR="00917616" w:rsidRPr="00BE4401" w:rsidRDefault="00917616" w:rsidP="00E7415E">
      <w:pPr>
        <w:spacing w:line="276" w:lineRule="auto"/>
        <w:rPr>
          <w:rFonts w:cs="Arial"/>
          <w:lang w:val="pl-PL"/>
        </w:rPr>
      </w:pPr>
      <w:r w:rsidRPr="00BE4401">
        <w:rPr>
          <w:rFonts w:cs="Arial"/>
          <w:lang w:val="pl-PL"/>
        </w:rPr>
        <w:t xml:space="preserve">Biljna proizvodnja važnijih merkantilnih ratarsko-povrtarskih kultura u opštini Petrovac na Mlavi se realizuje na površini od oko 22.941,0 ha na kojima se proizvodi masa od 161.548,5 t osnovnih proizvoda i oko </w:t>
      </w:r>
      <w:r w:rsidRPr="00BE4401">
        <w:rPr>
          <w:rFonts w:cs="Arial"/>
          <w:bCs/>
          <w:color w:val="000000"/>
          <w:lang w:val="pl-PL" w:eastAsia="en-US"/>
        </w:rPr>
        <w:t>222.587,4</w:t>
      </w:r>
      <w:r w:rsidRPr="00BE4401">
        <w:rPr>
          <w:rFonts w:cs="Arial"/>
          <w:lang w:val="pl-PL"/>
        </w:rPr>
        <w:t xml:space="preserve"> t ostataka biomase. Od navedene količine biljlnih ostataka </w:t>
      </w:r>
      <w:r w:rsidRPr="00BE4401">
        <w:rPr>
          <w:rFonts w:cs="Arial"/>
          <w:bCs/>
          <w:color w:val="000000"/>
          <w:lang w:val="pl-PL" w:eastAsia="en-US"/>
        </w:rPr>
        <w:t>47.376,8 t (35,13%)</w:t>
      </w:r>
      <w:r w:rsidRPr="00BE4401">
        <w:rPr>
          <w:rFonts w:cs="Arial"/>
          <w:lang w:val="pl-PL"/>
        </w:rPr>
        <w:t xml:space="preserve"> se odnosi na kulture koje se mogu direktno sagorevati, a ostatak od </w:t>
      </w:r>
      <w:r w:rsidRPr="00BE4401">
        <w:rPr>
          <w:rFonts w:cs="Arial"/>
          <w:bCs/>
          <w:color w:val="000000"/>
          <w:lang w:val="pl-PL" w:eastAsia="en-US"/>
        </w:rPr>
        <w:t>87.481,5 t (64,87%)</w:t>
      </w:r>
      <w:r w:rsidRPr="00BE4401">
        <w:rPr>
          <w:rFonts w:cs="Arial"/>
          <w:lang w:val="pl-PL"/>
        </w:rPr>
        <w:t xml:space="preserve"> se odnosi na kulture koje mogu biti korišćene za proizvodnju biogasa. Ovas je najviše zastupljlen u setvenoj strukturi opštine, ali se osim oklaska ostaci biljaka zbog njihove vlažnosti, vremena i načina ubiranja malo druge biomase koriste za produkciju energije. </w:t>
      </w:r>
    </w:p>
    <w:p w:rsidR="00917616" w:rsidRPr="00BE4401" w:rsidRDefault="00917616" w:rsidP="00E7415E">
      <w:pPr>
        <w:spacing w:line="276" w:lineRule="auto"/>
        <w:rPr>
          <w:rFonts w:cs="Arial"/>
          <w:lang w:val="pl-PL"/>
        </w:rPr>
      </w:pPr>
      <w:r w:rsidRPr="00BE4401">
        <w:rPr>
          <w:rFonts w:cs="Arial"/>
          <w:lang w:val="pl-PL"/>
        </w:rPr>
        <w:t xml:space="preserve">Iako u opštini ima potencijala iz orezina voćnjaka i vinograda u količini od </w:t>
      </w:r>
      <w:r w:rsidRPr="00BE4401">
        <w:rPr>
          <w:rFonts w:cs="Arial"/>
          <w:color w:val="000000"/>
          <w:lang w:val="pl-PL" w:eastAsia="en-US"/>
        </w:rPr>
        <w:t>2.449,4</w:t>
      </w:r>
      <w:r w:rsidRPr="00BE4401">
        <w:rPr>
          <w:rFonts w:cs="Arial"/>
          <w:lang w:val="pl-PL"/>
        </w:rPr>
        <w:t xml:space="preserve"> t/god, ti ostaci biomase se zbog teškog sakupljanja skoro i ne koriste, pošto je opština veoma bogata ogrevnim drvetom. </w:t>
      </w:r>
    </w:p>
    <w:p w:rsidR="00917616" w:rsidRPr="00BE4401" w:rsidRDefault="00917616" w:rsidP="00E7415E">
      <w:pPr>
        <w:spacing w:line="276" w:lineRule="auto"/>
        <w:rPr>
          <w:rFonts w:cs="Arial"/>
          <w:lang w:val="pl-PL"/>
        </w:rPr>
      </w:pPr>
      <w:r w:rsidRPr="00BE4401">
        <w:rPr>
          <w:rFonts w:cs="Arial"/>
          <w:lang w:val="pl-PL"/>
        </w:rPr>
        <w:t>U opštini Petrovac na Mlavi nema evidentiranih zasada pod "energetskim" kulturama, iako za njihovo gajenje postoje zadovoljavajući uslovi.</w:t>
      </w:r>
    </w:p>
    <w:p w:rsidR="00917616" w:rsidRPr="00BE4401" w:rsidRDefault="00917616" w:rsidP="00E7415E">
      <w:pPr>
        <w:spacing w:line="276" w:lineRule="auto"/>
        <w:rPr>
          <w:rFonts w:cs="Arial"/>
          <w:lang w:val="pl-PL"/>
        </w:rPr>
      </w:pPr>
      <w:r w:rsidRPr="00BE4401">
        <w:rPr>
          <w:rFonts w:cs="Arial"/>
          <w:lang w:val="pl-PL"/>
        </w:rPr>
        <w:t xml:space="preserve">Za tržište se u opštini Petrovac na Mlavi na godišnjem nivou iz većih pogona agroindustrije može prikupiti </w:t>
      </w:r>
      <w:r w:rsidRPr="00BE4401">
        <w:rPr>
          <w:rFonts w:cs="Arial"/>
          <w:color w:val="000000"/>
          <w:lang w:val="pl-PL" w:eastAsia="en-US"/>
        </w:rPr>
        <w:t>374,1</w:t>
      </w:r>
      <w:r w:rsidRPr="00BE4401">
        <w:rPr>
          <w:rFonts w:cs="Arial"/>
          <w:lang w:val="pl-PL"/>
        </w:rPr>
        <w:t xml:space="preserve"> t otpadne biomase koja se može usmeriti na energetsku valorizaciju direktnim sagorevanjem, a ostataka biomase koji se mogu usmeriti ka proizvodnji biogasa ima </w:t>
      </w:r>
      <w:r w:rsidRPr="00BE4401">
        <w:rPr>
          <w:rFonts w:cs="Arial"/>
          <w:color w:val="000000"/>
          <w:lang w:val="pl-PL"/>
        </w:rPr>
        <w:t>37,5</w:t>
      </w:r>
      <w:r w:rsidRPr="00BE4401">
        <w:rPr>
          <w:rFonts w:cs="Arial"/>
          <w:lang w:val="pl-PL"/>
        </w:rPr>
        <w:t xml:space="preserve"> t.</w:t>
      </w:r>
    </w:p>
    <w:p w:rsidR="00917616" w:rsidRPr="00BE4401" w:rsidRDefault="00917616" w:rsidP="00E7415E">
      <w:pPr>
        <w:spacing w:line="276" w:lineRule="auto"/>
        <w:rPr>
          <w:rFonts w:cs="Arial"/>
          <w:lang w:val="pl-PL"/>
        </w:rPr>
      </w:pPr>
      <w:r w:rsidRPr="00BE4401">
        <w:rPr>
          <w:rFonts w:cs="Arial"/>
          <w:lang w:val="pl-PL"/>
        </w:rPr>
        <w:t xml:space="preserve">Ukupna količina stajnjaka u sistemu prikupljanja u opštini iznosi 175.786,4 t. Teoretski bi se od navedenih raspoloživih količina stajnjaka u adekvatnim uslovima na godišnjem nivou moglo proizvesti oko </w:t>
      </w:r>
      <w:r w:rsidRPr="00BE4401">
        <w:rPr>
          <w:rFonts w:cs="Arial"/>
          <w:bCs/>
          <w:color w:val="000000"/>
          <w:lang w:val="pl-PL" w:eastAsia="en-US"/>
        </w:rPr>
        <w:t>3.717.852,5</w:t>
      </w:r>
      <w:r w:rsidRPr="00BE4401">
        <w:rPr>
          <w:rFonts w:cs="Arial"/>
          <w:lang w:val="pl-PL"/>
        </w:rPr>
        <w:t xml:space="preserve"> </w:t>
      </w:r>
      <w:r w:rsidRPr="00BE4401">
        <w:rPr>
          <w:rFonts w:cs="Arial"/>
          <w:vertAlign w:val="subscript"/>
          <w:lang w:val="pl-PL"/>
        </w:rPr>
        <w:t>n</w:t>
      </w:r>
      <w:r w:rsidRPr="00BE4401">
        <w:rPr>
          <w:rFonts w:cs="Arial"/>
          <w:lang w:val="pl-PL"/>
        </w:rPr>
        <w:t>m</w:t>
      </w:r>
      <w:r w:rsidRPr="00BE4401">
        <w:rPr>
          <w:rFonts w:cs="Arial"/>
          <w:vertAlign w:val="superscript"/>
          <w:lang w:val="pl-PL"/>
        </w:rPr>
        <w:t>3</w:t>
      </w:r>
      <w:r w:rsidRPr="00BE4401">
        <w:rPr>
          <w:rFonts w:cs="Arial"/>
          <w:lang w:val="pl-PL"/>
        </w:rPr>
        <w:t xml:space="preserve"> biogasa. Najviše biogasa se može proizvesti od stajnjaka svinja 66,12%, goveda 27,50% i živine 6,21%.</w:t>
      </w:r>
    </w:p>
    <w:p w:rsidR="00917616" w:rsidRPr="00BE4401" w:rsidRDefault="00917616" w:rsidP="00E7415E">
      <w:pPr>
        <w:spacing w:line="276" w:lineRule="auto"/>
        <w:rPr>
          <w:rFonts w:cs="Arial"/>
          <w:lang w:val="pl-PL"/>
        </w:rPr>
      </w:pPr>
      <w:r w:rsidRPr="00BE4401">
        <w:rPr>
          <w:rFonts w:cs="Arial"/>
          <w:lang w:val="pl-PL"/>
        </w:rPr>
        <w:t xml:space="preserve">U opštini se tokom godine 11.663 t ostataka biomase troše kao materijal u proizvodnji i energenti u direktnom sagorevanju, a 87.482 t kao hrana za stoku, koji se pored toga mogu još koristiti i za produkciju biogasa. </w:t>
      </w:r>
    </w:p>
    <w:p w:rsidR="00917616" w:rsidRPr="00BE4401" w:rsidRDefault="00917616" w:rsidP="00E7415E">
      <w:pPr>
        <w:spacing w:line="276" w:lineRule="auto"/>
        <w:rPr>
          <w:rFonts w:cs="Arial"/>
          <w:lang w:val="pl-PL"/>
        </w:rPr>
      </w:pPr>
      <w:r w:rsidRPr="00BE4401">
        <w:rPr>
          <w:rFonts w:cs="Arial"/>
          <w:lang w:val="pl-PL"/>
        </w:rPr>
        <w:t xml:space="preserve">Prema sadašnjem nivou raspoložive i iskorišćene energije iz ostataka biomase nastale iz poljoprivredne proizvodnje u opštini Petrovac na Mlavi, materijalno - energetski bilans je </w:t>
      </w:r>
      <w:r w:rsidRPr="00BE4401">
        <w:rPr>
          <w:rFonts w:cs="Arial"/>
          <w:b/>
          <w:lang w:val="pl-PL"/>
        </w:rPr>
        <w:t>POZITIVAN</w:t>
      </w:r>
      <w:r w:rsidRPr="00BE4401">
        <w:rPr>
          <w:rFonts w:cs="Arial"/>
          <w:lang w:val="pl-PL"/>
        </w:rPr>
        <w:t>, pošto je na godišnjem nivou u opštini raspoloživo 38.537 t (18,0%) ostataka biomase niže vlažnosti koji se mogu direktno sagorevati i 175.824 t (82,0%) ostataka biomase povećane vlažnosti koji se mogu koristiti za proizvodnju biogasa i kao hrana za stoku.</w:t>
      </w:r>
    </w:p>
    <w:p w:rsidR="00917616" w:rsidRPr="001018A1" w:rsidRDefault="00917616" w:rsidP="00E7415E">
      <w:pPr>
        <w:spacing w:line="276" w:lineRule="auto"/>
        <w:rPr>
          <w:rFonts w:cs="Arial"/>
        </w:rPr>
      </w:pPr>
      <w:r w:rsidRPr="007D6E9D">
        <w:rPr>
          <w:rFonts w:cs="Arial"/>
          <w:noProof/>
          <w:lang w:val="sr-Latn-CS" w:eastAsia="sr-Latn-CS"/>
        </w:rPr>
        <w:pict>
          <v:shape id="Picture 6" o:spid="_x0000_i1034" type="#_x0000_t75" alt="16_Petrovac na Mlavi_7_d_UKUPNI BILANS.jpg" style="width:453pt;height:186pt;visibility:visible">
            <v:imagedata r:id="rId17" o:title=""/>
          </v:shape>
        </w:pict>
      </w:r>
    </w:p>
    <w:p w:rsidR="00917616" w:rsidRPr="001018A1" w:rsidRDefault="00917616" w:rsidP="00E7415E">
      <w:pPr>
        <w:spacing w:line="276" w:lineRule="auto"/>
        <w:jc w:val="center"/>
        <w:rPr>
          <w:rFonts w:cs="Arial"/>
        </w:rPr>
      </w:pPr>
      <w:r w:rsidRPr="00F21910">
        <w:rPr>
          <w:rFonts w:cs="Arial"/>
        </w:rPr>
        <w:t xml:space="preserve">Grafikon 7: Raspoloživa masa iz ostataka biomase prema materijalnom bilansu u opštini </w:t>
      </w:r>
      <w:r w:rsidRPr="001018A1">
        <w:rPr>
          <w:rFonts w:cs="Arial"/>
        </w:rPr>
        <w:t>Petrovac na Mlavi</w:t>
      </w:r>
    </w:p>
    <w:p w:rsidR="00917616" w:rsidRDefault="00917616" w:rsidP="00E7415E">
      <w:pPr>
        <w:spacing w:line="276" w:lineRule="auto"/>
        <w:rPr>
          <w:rFonts w:cs="Arial"/>
        </w:rPr>
      </w:pPr>
    </w:p>
    <w:p w:rsidR="00917616" w:rsidRPr="001018A1" w:rsidRDefault="00917616" w:rsidP="00E7415E">
      <w:pPr>
        <w:spacing w:line="276" w:lineRule="auto"/>
        <w:rPr>
          <w:rFonts w:cs="Arial"/>
        </w:rPr>
      </w:pPr>
      <w:r w:rsidRPr="002653F1">
        <w:rPr>
          <w:rFonts w:cs="Arial"/>
        </w:rPr>
        <w:t>Iskorišćenje ovog teoretskog potencijala zavisi pre svega od mogućnosti prikupljanja i skladištenja, kao i povezanih troškova, sa ciljem da se osigura kontinuirano snabdevanje b</w:t>
      </w:r>
      <w:r>
        <w:rPr>
          <w:rFonts w:cs="Arial"/>
        </w:rPr>
        <w:t>iomasom za proizvodnju energije</w:t>
      </w:r>
      <w:r w:rsidRPr="002653F1">
        <w:rPr>
          <w:rFonts w:cs="Arial"/>
        </w:rPr>
        <w:t>.</w:t>
      </w:r>
    </w:p>
    <w:p w:rsidR="00917616" w:rsidRPr="001018A1" w:rsidRDefault="00917616" w:rsidP="00E7415E">
      <w:pPr>
        <w:spacing w:line="276" w:lineRule="auto"/>
      </w:pPr>
    </w:p>
    <w:p w:rsidR="00917616" w:rsidRPr="000345E1" w:rsidRDefault="00917616" w:rsidP="00E7415E">
      <w:pPr>
        <w:spacing w:line="276" w:lineRule="auto"/>
        <w:sectPr w:rsidR="00917616" w:rsidRPr="000345E1" w:rsidSect="00E7415E">
          <w:headerReference w:type="even" r:id="rId18"/>
          <w:footerReference w:type="default" r:id="rId19"/>
          <w:pgSz w:w="11907" w:h="16840" w:code="9"/>
          <w:pgMar w:top="1134" w:right="1134" w:bottom="1134" w:left="1701" w:header="567" w:footer="567" w:gutter="0"/>
          <w:cols w:space="708"/>
          <w:titlePg/>
          <w:docGrid w:linePitch="360"/>
        </w:sectPr>
      </w:pPr>
    </w:p>
    <w:p w:rsidR="00917616" w:rsidRPr="000345E1" w:rsidRDefault="00917616" w:rsidP="00E7415E">
      <w:pPr>
        <w:pStyle w:val="Heading1"/>
        <w:numPr>
          <w:ilvl w:val="0"/>
          <w:numId w:val="12"/>
        </w:numPr>
        <w:spacing w:before="0" w:after="120" w:line="276" w:lineRule="auto"/>
      </w:pPr>
      <w:bookmarkStart w:id="12" w:name="_Toc531367207"/>
      <w:r w:rsidRPr="000345E1">
        <w:t>MOGUĆNOST UZGAJANJA ENERGETSKIH ZASADA</w:t>
      </w:r>
      <w:bookmarkEnd w:id="12"/>
    </w:p>
    <w:p w:rsidR="00917616" w:rsidRPr="00171AFE" w:rsidRDefault="00917616" w:rsidP="00E7415E">
      <w:pPr>
        <w:spacing w:line="276" w:lineRule="auto"/>
      </w:pPr>
      <w:r w:rsidRPr="00171AFE">
        <w:t>Odluka o zasnivanju energetskih zasada može da se donese iz nekoliko razloga. Iz želje da se određeni zemljišni resursi, koji i nisu najpogodniji za druge poljoprivredne ili šumske kulture, kultivišu i uz to se na njima stvori ekonomska dobit ili da se već potencijalnim korisnicima obezbede obnovljivi energenti. Kada se još dodaju i ekološki činioci, kao što su mogućnosti zasnivanja energetskih zasada vrbe Salix viminalis da bi se vršilo biološko (ekološko) čišćenje terena ili da se smanje površine pod korovima (kao što je ambrozija i dr.) onda energetski zasadi dobijaju i dodatnu dimenziju i značaj.</w:t>
      </w:r>
    </w:p>
    <w:p w:rsidR="00917616" w:rsidRPr="00171AFE" w:rsidRDefault="00917616" w:rsidP="00E7415E">
      <w:pPr>
        <w:spacing w:line="276" w:lineRule="auto"/>
      </w:pPr>
      <w:r w:rsidRPr="00171AFE">
        <w:t>Pri tom, ukoliko se energetski zasadi podižu od strane jedinica lokalnih samouprava za potrebe snabdevanja biomasom objekata od javnog značaja potrebno je poći od toga ko su korisnici, kolike su njihove potrebe, kakva je dinamika snabdevanja i za koji vremenski period. Međutim, ukoliko se energetski zasadi podižu od strane privatnih investitora na zakupljenom državnom poljoprivrednom zemljištu lošijih kategorija tada je namena biomase, najvećim delom, unapred poznata. Primeri iz prakse pokazuju da se biomasa u takvim slučajevima najčešće koristi za podmirenje potreba sopstvenih proizvodno-energetskih postrojenja ili je opredeljena za tržište ili je kombinacija ova dva slučaja.</w:t>
      </w:r>
    </w:p>
    <w:p w:rsidR="00917616" w:rsidRPr="00171AFE" w:rsidRDefault="00917616" w:rsidP="00E7415E">
      <w:pPr>
        <w:spacing w:line="276" w:lineRule="auto"/>
      </w:pPr>
      <w:r w:rsidRPr="00171AFE">
        <w:t>Mogućnost uzgajanja energetskih zasada za potrebe ovog Programa je razmatrana uzimajući u obzir površine poljoprivrednog obradivog zemljišta lošijeg kvaliteta i uzeto je u obzir formiranje energetskih zasada od zeljastih („prva generacija”) i drvenastih (</w:t>
      </w:r>
      <w:r>
        <w:t>„</w:t>
      </w:r>
      <w:r w:rsidRPr="00171AFE">
        <w:t>druga generacija“) kultura</w:t>
      </w:r>
      <w:r w:rsidRPr="00171AFE">
        <w:rPr>
          <w:rStyle w:val="FootnoteReference"/>
        </w:rPr>
        <w:footnoteReference w:id="4"/>
      </w:r>
      <w:r w:rsidRPr="00171AFE">
        <w:t>. U smislu ovog Programa značajno je odrediti koje su mogućnosti podrške razvoja energetskih zasada od strane JLS pre svega u kontekstu davanja u zakup i na korišćenje zemljišta u državnoj svojini. Zakon o poljoprivrednom zemljištu definiše da poljoprivredno zemljište u državnoj svojini, koje nije bilo izdato najmanje poslednje tri agroekonomske godine i nije bilo predmet korišćenja, može da se da u zakup licima koja se bave proizvodnjom energije iz obnovljivih izvora iz biomase ili stočarstva. Pravilnik o uslovima i postupku davanja u zakup i na korišćenje poljoprivrednog zemljišta u državno</w:t>
      </w:r>
      <w:r>
        <w:t>j svojini (Sl. g</w:t>
      </w:r>
      <w:r w:rsidRPr="00171AFE">
        <w:t>lasnik RS</w:t>
      </w:r>
      <w:r>
        <w:t>, br.</w:t>
      </w:r>
      <w:r w:rsidRPr="00171AFE">
        <w:t xml:space="preserve"> 16/2017 i 111/2017) bliže definiše pod kojim uslovima je moguće davati u zakup poljoprivredno obradivo zemljište za proizvodnju biomase kao OIE. Značajno je napomenuti da prema Pravilniku davanje u zakup državnog zemljišta za gajenje drvenastih kultura za biomasu može da bude samo na poljoprivrednim obradivim zemljištima šeste, sedme i osme katastarske klase. </w:t>
      </w:r>
    </w:p>
    <w:p w:rsidR="00917616" w:rsidRPr="00171AFE" w:rsidRDefault="00917616" w:rsidP="00E7415E">
      <w:pPr>
        <w:spacing w:line="276" w:lineRule="auto"/>
      </w:pPr>
      <w:r w:rsidRPr="00171AFE">
        <w:t>Iz tog razloga za procenu potencijala uzgoja energetskih zasada uzimane su površine u JLS u dva scenarija:</w:t>
      </w:r>
    </w:p>
    <w:p w:rsidR="00917616" w:rsidRPr="00171AFE" w:rsidRDefault="00917616" w:rsidP="00BE4401">
      <w:pPr>
        <w:pStyle w:val="ListParagraph"/>
        <w:numPr>
          <w:ilvl w:val="0"/>
          <w:numId w:val="29"/>
        </w:numPr>
        <w:spacing w:line="276" w:lineRule="auto"/>
        <w:ind w:left="714" w:hanging="357"/>
        <w:contextualSpacing w:val="0"/>
      </w:pPr>
      <w:r w:rsidRPr="00171AFE">
        <w:rPr>
          <w:b/>
        </w:rPr>
        <w:t>Scenario 1:</w:t>
      </w:r>
      <w:r w:rsidRPr="00171AFE">
        <w:t xml:space="preserve"> Ukupno poljoprivredno obradivo zemljište (njive, vrtovi, voćnjaci, vinogradi i livade) katastarske klase V-VIII za poljoprivredne i klase VI-VIII za drvenaste kulture</w:t>
      </w:r>
    </w:p>
    <w:p w:rsidR="00917616" w:rsidRDefault="00917616" w:rsidP="00BE4401">
      <w:pPr>
        <w:pStyle w:val="ListParagraph"/>
        <w:numPr>
          <w:ilvl w:val="0"/>
          <w:numId w:val="29"/>
        </w:numPr>
        <w:spacing w:line="276" w:lineRule="auto"/>
        <w:ind w:left="714" w:hanging="357"/>
        <w:contextualSpacing w:val="0"/>
      </w:pPr>
      <w:r w:rsidRPr="00171AFE">
        <w:rPr>
          <w:b/>
        </w:rPr>
        <w:t>Scenario 2:</w:t>
      </w:r>
      <w:r w:rsidRPr="00171AFE">
        <w:t xml:space="preserve"> Površine pod njivama i livadama kao najpovoljnijim za uzgajanje energetskih zasada (konzervativni scenario) katastarske klase V-VIII za poljoprivredne i klase VI-VIII za drvenaste kulture.</w:t>
      </w:r>
    </w:p>
    <w:p w:rsidR="00917616" w:rsidRPr="00171AFE" w:rsidRDefault="00917616" w:rsidP="00E7415E">
      <w:pPr>
        <w:pStyle w:val="ListParagraph"/>
        <w:spacing w:line="276" w:lineRule="auto"/>
        <w:ind w:left="714" w:firstLine="0"/>
        <w:contextualSpacing w:val="0"/>
      </w:pPr>
    </w:p>
    <w:p w:rsidR="00917616" w:rsidRPr="00171AFE" w:rsidRDefault="00917616" w:rsidP="00E7415E">
      <w:pPr>
        <w:spacing w:line="276" w:lineRule="auto"/>
      </w:pPr>
      <w:r w:rsidRPr="00171AFE">
        <w:t>Podaci za procenu površina u JLS pogodnih za gajenje energetskih zasada su uzeti iz UNDP Izveštaja: „Mogućnosti za uzgajanje brzorastućih energetskih zasada sa aspekta raspoloživosti poljoprivrednog zemljišta u Republici Srbiji“ (2017</w:t>
      </w:r>
      <w:r>
        <w:t>.</w:t>
      </w:r>
      <w:r w:rsidRPr="00171AFE">
        <w:t>) autora Zorana Kneževića.</w:t>
      </w:r>
    </w:p>
    <w:p w:rsidR="00917616" w:rsidRDefault="00917616" w:rsidP="00E7415E">
      <w:pPr>
        <w:spacing w:line="276" w:lineRule="auto"/>
      </w:pPr>
    </w:p>
    <w:p w:rsidR="00917616" w:rsidRDefault="00917616" w:rsidP="00E7415E">
      <w:pPr>
        <w:spacing w:line="276" w:lineRule="auto"/>
      </w:pPr>
    </w:p>
    <w:p w:rsidR="00917616" w:rsidRPr="00BE4401" w:rsidRDefault="00917616" w:rsidP="00E7415E">
      <w:pPr>
        <w:spacing w:line="276" w:lineRule="auto"/>
        <w:rPr>
          <w:lang w:val="pl-PL"/>
        </w:rPr>
      </w:pPr>
      <w:r w:rsidRPr="00BE4401">
        <w:rPr>
          <w:lang w:val="pl-PL"/>
        </w:rPr>
        <w:t>U tabeli ispod su predstavljene raspoložive površine za oba scenarija:</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Look w:val="00A0"/>
      </w:tblPr>
      <w:tblGrid>
        <w:gridCol w:w="1812"/>
        <w:gridCol w:w="3286"/>
        <w:gridCol w:w="3544"/>
      </w:tblGrid>
      <w:tr w:rsidR="00917616" w:rsidRPr="00BE4401" w:rsidTr="00786508">
        <w:trPr>
          <w:tblHeader/>
          <w:jc w:val="center"/>
        </w:trPr>
        <w:tc>
          <w:tcPr>
            <w:tcW w:w="1812" w:type="dxa"/>
            <w:shd w:val="clear" w:color="auto" w:fill="148DCD"/>
          </w:tcPr>
          <w:p w:rsidR="00917616" w:rsidRPr="00BE4401" w:rsidRDefault="00917616" w:rsidP="00786508">
            <w:pPr>
              <w:spacing w:line="276" w:lineRule="auto"/>
              <w:rPr>
                <w:b/>
                <w:color w:val="FFFFFF"/>
                <w:sz w:val="20"/>
                <w:lang w:val="pl-PL"/>
              </w:rPr>
            </w:pPr>
          </w:p>
        </w:tc>
        <w:tc>
          <w:tcPr>
            <w:tcW w:w="3286" w:type="dxa"/>
            <w:shd w:val="clear" w:color="auto" w:fill="148DCD"/>
          </w:tcPr>
          <w:p w:rsidR="00917616" w:rsidRPr="00BE4401" w:rsidRDefault="00917616" w:rsidP="00786508">
            <w:pPr>
              <w:spacing w:line="276" w:lineRule="auto"/>
              <w:rPr>
                <w:b/>
                <w:color w:val="FFFFFF"/>
                <w:sz w:val="20"/>
                <w:lang w:val="pl-PL"/>
              </w:rPr>
            </w:pPr>
            <w:r w:rsidRPr="00BE4401">
              <w:rPr>
                <w:b/>
                <w:color w:val="FFFFFF"/>
                <w:sz w:val="20"/>
                <w:lang w:val="pl-PL"/>
              </w:rPr>
              <w:t>Scenario 1 – poljoprivredno obradivo zemljište lošijeg kvaliteta</w:t>
            </w:r>
          </w:p>
        </w:tc>
        <w:tc>
          <w:tcPr>
            <w:tcW w:w="3544" w:type="dxa"/>
            <w:shd w:val="clear" w:color="auto" w:fill="148DCD"/>
          </w:tcPr>
          <w:p w:rsidR="00917616" w:rsidRPr="00BE4401" w:rsidRDefault="00917616" w:rsidP="00786508">
            <w:pPr>
              <w:spacing w:line="276" w:lineRule="auto"/>
              <w:rPr>
                <w:b/>
                <w:color w:val="FFFFFF"/>
                <w:sz w:val="20"/>
                <w:lang w:val="it-IT"/>
              </w:rPr>
            </w:pPr>
            <w:r w:rsidRPr="00BE4401">
              <w:rPr>
                <w:b/>
                <w:color w:val="FFFFFF"/>
                <w:sz w:val="20"/>
                <w:lang w:val="it-IT"/>
              </w:rPr>
              <w:t>Scenario 2 – samo njive i livade lošijeg kvaliteta</w:t>
            </w:r>
          </w:p>
        </w:tc>
      </w:tr>
      <w:tr w:rsidR="00917616" w:rsidRPr="00786508" w:rsidTr="00786508">
        <w:trPr>
          <w:jc w:val="center"/>
        </w:trPr>
        <w:tc>
          <w:tcPr>
            <w:tcW w:w="1812" w:type="dxa"/>
            <w:shd w:val="clear" w:color="auto" w:fill="148DCD"/>
          </w:tcPr>
          <w:p w:rsidR="00917616" w:rsidRPr="00786508" w:rsidRDefault="00917616" w:rsidP="00786508">
            <w:pPr>
              <w:spacing w:line="276" w:lineRule="auto"/>
              <w:rPr>
                <w:b/>
                <w:color w:val="FFFFFF"/>
                <w:sz w:val="20"/>
              </w:rPr>
            </w:pPr>
            <w:r w:rsidRPr="00786508">
              <w:rPr>
                <w:b/>
                <w:color w:val="FFFFFF"/>
                <w:sz w:val="20"/>
              </w:rPr>
              <w:t>V-VIII klase</w:t>
            </w:r>
          </w:p>
        </w:tc>
        <w:tc>
          <w:tcPr>
            <w:tcW w:w="3286" w:type="dxa"/>
            <w:shd w:val="clear" w:color="auto" w:fill="CBE9FA"/>
            <w:vAlign w:val="center"/>
          </w:tcPr>
          <w:p w:rsidR="00917616" w:rsidRPr="00786508" w:rsidRDefault="00917616" w:rsidP="00786508">
            <w:pPr>
              <w:spacing w:line="276" w:lineRule="auto"/>
              <w:jc w:val="center"/>
              <w:rPr>
                <w:sz w:val="20"/>
              </w:rPr>
            </w:pPr>
            <w:r w:rsidRPr="00786508">
              <w:rPr>
                <w:sz w:val="20"/>
              </w:rPr>
              <w:t>18,847.34</w:t>
            </w:r>
          </w:p>
        </w:tc>
        <w:tc>
          <w:tcPr>
            <w:tcW w:w="3544" w:type="dxa"/>
            <w:shd w:val="clear" w:color="auto" w:fill="CBE9FA"/>
            <w:vAlign w:val="center"/>
          </w:tcPr>
          <w:p w:rsidR="00917616" w:rsidRPr="00786508" w:rsidRDefault="00917616" w:rsidP="00786508">
            <w:pPr>
              <w:spacing w:line="276" w:lineRule="auto"/>
              <w:jc w:val="center"/>
              <w:rPr>
                <w:sz w:val="20"/>
              </w:rPr>
            </w:pPr>
            <w:r w:rsidRPr="00786508">
              <w:rPr>
                <w:sz w:val="20"/>
              </w:rPr>
              <w:t>17,940.99</w:t>
            </w:r>
          </w:p>
        </w:tc>
      </w:tr>
      <w:tr w:rsidR="00917616" w:rsidRPr="00786508" w:rsidTr="00786508">
        <w:trPr>
          <w:jc w:val="center"/>
        </w:trPr>
        <w:tc>
          <w:tcPr>
            <w:tcW w:w="1812" w:type="dxa"/>
            <w:shd w:val="clear" w:color="auto" w:fill="148DCD"/>
          </w:tcPr>
          <w:p w:rsidR="00917616" w:rsidRPr="00786508" w:rsidRDefault="00917616" w:rsidP="00786508">
            <w:pPr>
              <w:spacing w:line="276" w:lineRule="auto"/>
              <w:rPr>
                <w:b/>
                <w:color w:val="FFFFFF"/>
                <w:sz w:val="20"/>
              </w:rPr>
            </w:pPr>
            <w:r w:rsidRPr="00786508">
              <w:rPr>
                <w:b/>
                <w:color w:val="FFFFFF"/>
                <w:sz w:val="20"/>
              </w:rPr>
              <w:t>VI – VIII klase</w:t>
            </w:r>
          </w:p>
        </w:tc>
        <w:tc>
          <w:tcPr>
            <w:tcW w:w="3286" w:type="dxa"/>
            <w:shd w:val="clear" w:color="auto" w:fill="E9F1F9"/>
            <w:vAlign w:val="center"/>
          </w:tcPr>
          <w:p w:rsidR="00917616" w:rsidRPr="00786508" w:rsidRDefault="00917616" w:rsidP="00786508">
            <w:pPr>
              <w:spacing w:line="276" w:lineRule="auto"/>
              <w:jc w:val="center"/>
              <w:rPr>
                <w:sz w:val="20"/>
              </w:rPr>
            </w:pPr>
            <w:r w:rsidRPr="00786508">
              <w:rPr>
                <w:sz w:val="20"/>
              </w:rPr>
              <w:t>9,261.00</w:t>
            </w:r>
          </w:p>
        </w:tc>
        <w:tc>
          <w:tcPr>
            <w:tcW w:w="3544" w:type="dxa"/>
            <w:shd w:val="clear" w:color="auto" w:fill="E9F1F9"/>
            <w:vAlign w:val="center"/>
          </w:tcPr>
          <w:p w:rsidR="00917616" w:rsidRPr="00786508" w:rsidRDefault="00917616" w:rsidP="00786508">
            <w:pPr>
              <w:spacing w:line="276" w:lineRule="auto"/>
              <w:jc w:val="center"/>
              <w:rPr>
                <w:sz w:val="20"/>
              </w:rPr>
            </w:pPr>
            <w:r w:rsidRPr="00786508">
              <w:rPr>
                <w:sz w:val="20"/>
              </w:rPr>
              <w:t>9,156.00</w:t>
            </w:r>
          </w:p>
        </w:tc>
      </w:tr>
    </w:tbl>
    <w:p w:rsidR="00917616" w:rsidRPr="00171AFE" w:rsidRDefault="00917616" w:rsidP="00E7415E">
      <w:pPr>
        <w:spacing w:line="276" w:lineRule="auto"/>
      </w:pPr>
    </w:p>
    <w:p w:rsidR="00917616" w:rsidRPr="00171AFE" w:rsidRDefault="00917616" w:rsidP="00E7415E">
      <w:pPr>
        <w:spacing w:line="276" w:lineRule="auto"/>
      </w:pPr>
      <w:r w:rsidRPr="00171AFE">
        <w:t>Važno je napomenuti da postoji mogućnost neslaganja zvaničnih podataka sa situacijom na terenu, tako da je pre donošenja odluke o davanju zemljišta niže klase</w:t>
      </w:r>
      <w:r>
        <w:t xml:space="preserve"> potrebno</w:t>
      </w:r>
      <w:r w:rsidRPr="00171AFE">
        <w:t xml:space="preserve"> pronaći parcele i proveriti podatke.</w:t>
      </w:r>
    </w:p>
    <w:p w:rsidR="00917616" w:rsidRPr="00171AFE" w:rsidRDefault="00917616" w:rsidP="00E7415E">
      <w:pPr>
        <w:spacing w:line="276" w:lineRule="auto"/>
      </w:pPr>
      <w:r w:rsidRPr="00171AFE">
        <w:t>Sagledavanje potencijala proizvodnje brzorastućih biljaka u ciklusima poljoprivredne proizvodnje sa ciljem njihovog korišćenja u energetske svrhe može biti veoma kompleksno. U tu svrhu moraju se definisati mnogi parametri proizvodnje, počev od raspoloživih površina za uzgajanje, kvaliteta zemljišta, nagiba terena, dostupnosti vode, klimatskih uslova sredine, izbora gajene vrste i sorte biljaka, primenjivane agrotehnike, načina ubiranja i energetske valorizacije i dr.</w:t>
      </w:r>
    </w:p>
    <w:p w:rsidR="00917616" w:rsidRPr="00171AFE" w:rsidRDefault="00917616" w:rsidP="00E7415E">
      <w:pPr>
        <w:spacing w:line="276" w:lineRule="auto"/>
      </w:pPr>
      <w:r w:rsidRPr="00171AFE">
        <w:t xml:space="preserve">Veći je broj brzorastućih </w:t>
      </w:r>
      <w:r w:rsidRPr="00171AFE">
        <w:rPr>
          <w:b/>
        </w:rPr>
        <w:t>poljoprivrednih biljnih kultura</w:t>
      </w:r>
      <w:r w:rsidRPr="00171AFE">
        <w:t xml:space="preserve"> koje se u Srbiji mogu uspešno uzgajati. Veoma važan činilac sagledavanja potencijala „energetskih kultura“ se odnosi na način energetske valorizacije tih kultura. Tako će se energetski potencijali definisati kod biljaka koje su namenjene direktnom sagorevanju (biomasa niže vlažnosti) i biljaka od kojih će se tehnološkim postupcima anaerobne fermentacije prvo dobijati biogas, koji će se kasnije koristiti u energetske svrhe (biomasa više vlažnosti). </w:t>
      </w:r>
    </w:p>
    <w:p w:rsidR="00917616" w:rsidRPr="00171AFE" w:rsidRDefault="00917616" w:rsidP="00E7415E">
      <w:pPr>
        <w:spacing w:line="276" w:lineRule="auto"/>
      </w:pPr>
      <w:r w:rsidRPr="00171AFE">
        <w:t xml:space="preserve">Da bi prikazivanje potencijala bilo što verodostojnije i jasnije od obe vrste poljoprivredne biomase (niže i više vlažnosti) su odabrane kulture koje po velikom broju osobina mogu reprezentovati i kulture koje u tekstu nisu navedene. Tako je za sagledavanje potencijala biljaka namenjenih direktnom sagorevanju odabran </w:t>
      </w:r>
      <w:r w:rsidRPr="00171AFE">
        <w:rPr>
          <w:b/>
        </w:rPr>
        <w:t>miskantus</w:t>
      </w:r>
      <w:r w:rsidRPr="00171AFE">
        <w:t xml:space="preserve"> (</w:t>
      </w:r>
      <w:r w:rsidRPr="00171AFE">
        <w:rPr>
          <w:i/>
        </w:rPr>
        <w:t>Miscanthus x Giganteus Greef et Deu.</w:t>
      </w:r>
      <w:r w:rsidRPr="00171AFE">
        <w:t xml:space="preserve">), a za proizvodnju biogasa </w:t>
      </w:r>
      <w:r w:rsidRPr="00171AFE">
        <w:rPr>
          <w:b/>
        </w:rPr>
        <w:t xml:space="preserve">krmni sirak </w:t>
      </w:r>
      <w:r w:rsidRPr="00171AFE">
        <w:t>(</w:t>
      </w:r>
      <w:r w:rsidRPr="00171AFE">
        <w:rPr>
          <w:i/>
        </w:rPr>
        <w:t>Sorghum vulgare Pers</w:t>
      </w:r>
      <w:r w:rsidRPr="00171AFE">
        <w:t>), tj. sirak za silažu.</w:t>
      </w:r>
    </w:p>
    <w:p w:rsidR="00917616" w:rsidRPr="00171AFE" w:rsidRDefault="00917616" w:rsidP="00E7415E">
      <w:pPr>
        <w:spacing w:line="276" w:lineRule="auto"/>
      </w:pPr>
      <w:r w:rsidRPr="00171AFE">
        <w:t xml:space="preserve">Pod nazivom miskantus podrazumeva se prirodni hibrid, tj. triploidni genotip. Kao posledica njegove triploidnosti, Miscanthus x giganteus je sterilan, pa ne može obrazovati fertilno seme. Nizijske poljoprivredne parcele smatraju se veoma dobrim za gajenje miskantusa, sa dobijanjem najvećih prinosa na dubokim, vlažnim (vododrživim) zemljištima. Sa porastom nadmorske visine prinosi miskantusa opadaju. Miskantus raste i daje zadovoljavajuće prinose na zemljištima širokog raspona kvaliteta, od peskuša do zemljišta sa visokim sadržajem organske materije, a tolerantan je i na širok raspon zemljišne pH vrednosti. </w:t>
      </w:r>
    </w:p>
    <w:p w:rsidR="00917616" w:rsidRPr="00BE4401" w:rsidRDefault="00917616" w:rsidP="00E7415E">
      <w:pPr>
        <w:spacing w:line="276" w:lineRule="auto"/>
        <w:rPr>
          <w:lang w:val="pt-BR"/>
        </w:rPr>
      </w:pPr>
      <w:r w:rsidRPr="00BE4401">
        <w:rPr>
          <w:lang w:val="pt-BR"/>
        </w:rPr>
        <w:t>Gajenjem miskantusa u uslovima „suvog“ ratarenja ostvaruje se prinos do 30 t/ha.</w:t>
      </w:r>
      <w:r w:rsidRPr="00171AFE">
        <w:rPr>
          <w:rStyle w:val="FootnoteReference"/>
        </w:rPr>
        <w:footnoteReference w:id="5"/>
      </w:r>
      <w:r w:rsidRPr="00BE4401">
        <w:rPr>
          <w:lang w:val="pt-BR"/>
        </w:rPr>
        <w:t xml:space="preserve"> Navedeni prinosi mogu biti i veći, ali je navodnjavanje biljaka tokom vegetacije neophodno. Uobičajeni prinosi miskantusa na zemljištima nižih kategorija uz adekvatno primenjenu agrotehniku gajenja iznose: oko 20 t/ha za zemljišta sa nadmorskom visinom do 150 m, oko 17 t/ha za zemljišta sa nadmorskom visinom do 650 m i nešto preko 10 t/ha kod viših zemljišta. Smatra se da je prinos od 10 t/ha granica isplativosti kod proizvodnje miskantusa.</w:t>
      </w:r>
    </w:p>
    <w:p w:rsidR="00917616" w:rsidRPr="00BE4401" w:rsidRDefault="00917616" w:rsidP="00E7415E">
      <w:pPr>
        <w:spacing w:line="276" w:lineRule="auto"/>
        <w:rPr>
          <w:lang w:val="pt-BR"/>
        </w:rPr>
      </w:pPr>
      <w:r w:rsidRPr="00BE4401">
        <w:rPr>
          <w:lang w:val="pt-BR"/>
        </w:rPr>
        <w:t>Krmni sirak je jedna od najvažnijih „energetskih kultura“ za proizvodnju biogasa. Jak koren i druge morfološke osobine omogućuju biljkama sirka da bolje od kukuruza podnose nepovoljne uslove uzgoja, kao što su lošiji kvalitet zemljišta za uzgoj (može uspevati i na teškim i slanim zemljištima), suša i lošija agrotehnika. Uz smanjenje prinosa sirak podnosi sušu (zemljišta na kom se gaji i nisku relativnu vlažnost okolnog vazduha). Takođe, sirak je otporan i na povremena plavljenja terena. Potencijal prinosa sirka je veoma velik. Pojedini hibridi u dobrim uslovima uzgajanja i pri ubiranju biljaka sa vlažnošću 55-70% ostvaruju prinos i do 110 t/ha. Uobičajeni prinos krmnog sirka na zemljištima lošijeg kvaliteta uz manje intenzivnu primenjenu agrotehniku „suvog“ uzgajanja se kreće u granicama od 15 do 30 t/ha sa prinosom suve materije od 7 do 17 t/ha</w:t>
      </w:r>
      <w:r w:rsidRPr="00171AFE">
        <w:rPr>
          <w:rStyle w:val="FootnoteReference"/>
        </w:rPr>
        <w:footnoteReference w:id="6"/>
      </w:r>
      <w:r w:rsidRPr="00171AFE">
        <w:rPr>
          <w:rStyle w:val="FootnoteReference"/>
        </w:rPr>
        <w:footnoteReference w:id="7"/>
      </w:r>
      <w:r w:rsidRPr="00BE4401">
        <w:rPr>
          <w:lang w:val="pt-BR"/>
        </w:rPr>
        <w:t xml:space="preserve">. </w:t>
      </w:r>
    </w:p>
    <w:p w:rsidR="00917616" w:rsidRPr="00BE4401" w:rsidRDefault="00917616" w:rsidP="00E7415E">
      <w:pPr>
        <w:spacing w:line="276" w:lineRule="auto"/>
        <w:rPr>
          <w:lang w:val="pt-BR"/>
        </w:rPr>
      </w:pPr>
      <w:r w:rsidRPr="00BE4401">
        <w:rPr>
          <w:lang w:val="pt-BR"/>
        </w:rPr>
        <w:t>Izmajući u vidu napred navedeno, kao i različita iskustva u pogledu prinosa na različitim zemljištima i pod uticajem različtih faktora za potrebe ovog Programa usvojena je različita prosečna vrednost prinosa biljaka u zavisnosti od proizvodnog regiona, uz korekciju prinosa koji su ekvivalentni u proizvodnji kukuruza, kao najsličnije merkantilne kulture. Tako su usvojeni prinosi za miskantus od: 15 t/ha za region Vojvodine, 11,5 t/ha za region Šumadije i zapadne Srbije i 10 t/ha za region južne i istočne Srbije. U proizvodnji krmnog sirka usvojeni su sledeći prinosi: 30 t/ha za region Vojvodine, 23 t/ha za region Šumadije i zapadne Srbije i 20 t/ha za region južne i istočne Srbije.</w:t>
      </w:r>
    </w:p>
    <w:p w:rsidR="00917616" w:rsidRPr="00BE4401" w:rsidRDefault="00917616" w:rsidP="00E7415E">
      <w:pPr>
        <w:spacing w:line="276" w:lineRule="auto"/>
        <w:rPr>
          <w:lang w:val="pt-BR"/>
        </w:rPr>
      </w:pPr>
      <w:r w:rsidRPr="00BE4401">
        <w:rPr>
          <w:lang w:val="pt-BR"/>
        </w:rPr>
        <w:t>Stvarajući adekvatnije agrotehničke uslove, navedene prinose je moguće povećati, što će automatski značiti povećanje profitabilnosti zasnovane proizvodnje „energetskih kultura“ i veći stimulans za njihovim uzgajanjem.</w:t>
      </w:r>
    </w:p>
    <w:p w:rsidR="00917616" w:rsidRPr="00BE4401" w:rsidRDefault="00917616" w:rsidP="00E7415E">
      <w:pPr>
        <w:spacing w:line="276" w:lineRule="auto"/>
        <w:rPr>
          <w:lang w:val="pt-BR"/>
        </w:rPr>
      </w:pPr>
      <w:r w:rsidRPr="00BE4401">
        <w:rPr>
          <w:lang w:val="pt-BR"/>
        </w:rPr>
        <w:t>U tabeli ispod prikazani su ukupni maseni potencijali navedenih poljoprivrednih biljnih kultura u opštini Petrovac na Mlavi.</w:t>
      </w:r>
    </w:p>
    <w:p w:rsidR="00917616" w:rsidRPr="00BE4401" w:rsidRDefault="00917616" w:rsidP="00E7415E">
      <w:pPr>
        <w:spacing w:line="276" w:lineRule="auto"/>
        <w:rPr>
          <w:lang w:val="pt-BR"/>
        </w:rPr>
      </w:pPr>
    </w:p>
    <w:p w:rsidR="00917616" w:rsidRPr="00BE4401" w:rsidRDefault="00917616" w:rsidP="00E7415E">
      <w:pPr>
        <w:overflowPunct/>
        <w:autoSpaceDE/>
        <w:autoSpaceDN/>
        <w:adjustRightInd/>
        <w:spacing w:line="276" w:lineRule="auto"/>
        <w:jc w:val="left"/>
        <w:textAlignment w:val="auto"/>
        <w:rPr>
          <w:lang w:val="pl-PL"/>
        </w:rPr>
      </w:pPr>
      <w:r w:rsidRPr="00BE4401">
        <w:rPr>
          <w:lang w:val="pl-PL"/>
        </w:rPr>
        <w:t>Tabela 6: Ukupni maseni potencijali biomase od energetskih zasada u opštini Petrovac na Mlavi</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Look w:val="00A0"/>
      </w:tblPr>
      <w:tblGrid>
        <w:gridCol w:w="4957"/>
        <w:gridCol w:w="1701"/>
        <w:gridCol w:w="1984"/>
      </w:tblGrid>
      <w:tr w:rsidR="00917616" w:rsidRPr="00786508" w:rsidTr="00786508">
        <w:trPr>
          <w:tblHeader/>
          <w:jc w:val="center"/>
        </w:trPr>
        <w:tc>
          <w:tcPr>
            <w:tcW w:w="4957" w:type="dxa"/>
            <w:shd w:val="clear" w:color="auto" w:fill="148DCD"/>
          </w:tcPr>
          <w:p w:rsidR="00917616" w:rsidRPr="00BE4401" w:rsidRDefault="00917616" w:rsidP="00786508">
            <w:pPr>
              <w:spacing w:line="276" w:lineRule="auto"/>
              <w:rPr>
                <w:b/>
                <w:color w:val="FFFFFF"/>
                <w:sz w:val="20"/>
                <w:lang w:val="pl-PL"/>
              </w:rPr>
            </w:pPr>
          </w:p>
        </w:tc>
        <w:tc>
          <w:tcPr>
            <w:tcW w:w="1701" w:type="dxa"/>
            <w:shd w:val="clear" w:color="auto" w:fill="148DCD"/>
          </w:tcPr>
          <w:p w:rsidR="00917616" w:rsidRPr="00786508" w:rsidRDefault="00917616" w:rsidP="00786508">
            <w:pPr>
              <w:spacing w:line="276" w:lineRule="auto"/>
              <w:jc w:val="center"/>
              <w:rPr>
                <w:b/>
                <w:color w:val="FFFFFF"/>
                <w:sz w:val="20"/>
              </w:rPr>
            </w:pPr>
            <w:r w:rsidRPr="00786508">
              <w:rPr>
                <w:b/>
                <w:color w:val="FFFFFF"/>
                <w:sz w:val="20"/>
              </w:rPr>
              <w:t xml:space="preserve">Scenario 1 </w:t>
            </w:r>
          </w:p>
        </w:tc>
        <w:tc>
          <w:tcPr>
            <w:tcW w:w="1984" w:type="dxa"/>
            <w:shd w:val="clear" w:color="auto" w:fill="148DCD"/>
          </w:tcPr>
          <w:p w:rsidR="00917616" w:rsidRPr="00786508" w:rsidRDefault="00917616" w:rsidP="00786508">
            <w:pPr>
              <w:spacing w:line="276" w:lineRule="auto"/>
              <w:jc w:val="center"/>
              <w:rPr>
                <w:b/>
                <w:color w:val="FFFFFF"/>
                <w:sz w:val="20"/>
              </w:rPr>
            </w:pPr>
            <w:r w:rsidRPr="00786508">
              <w:rPr>
                <w:b/>
                <w:color w:val="FFFFFF"/>
                <w:sz w:val="20"/>
              </w:rPr>
              <w:t xml:space="preserve">Scenario 2 </w:t>
            </w:r>
          </w:p>
        </w:tc>
      </w:tr>
      <w:tr w:rsidR="00917616" w:rsidRPr="00786508" w:rsidTr="00786508">
        <w:trPr>
          <w:jc w:val="center"/>
        </w:trPr>
        <w:tc>
          <w:tcPr>
            <w:tcW w:w="4957" w:type="dxa"/>
            <w:shd w:val="clear" w:color="auto" w:fill="148DCD"/>
          </w:tcPr>
          <w:p w:rsidR="00917616" w:rsidRPr="00786508" w:rsidRDefault="00917616" w:rsidP="00786508">
            <w:pPr>
              <w:spacing w:line="276" w:lineRule="auto"/>
              <w:jc w:val="left"/>
              <w:rPr>
                <w:b/>
                <w:i/>
                <w:color w:val="FFFFFF"/>
                <w:sz w:val="20"/>
              </w:rPr>
            </w:pPr>
            <w:r w:rsidRPr="00786508">
              <w:rPr>
                <w:b/>
                <w:color w:val="FFFFFF"/>
                <w:sz w:val="20"/>
              </w:rPr>
              <w:t xml:space="preserve">Prosečan </w:t>
            </w:r>
            <w:r w:rsidRPr="00786508">
              <w:rPr>
                <w:b/>
                <w:i/>
                <w:color w:val="FFFFFF"/>
                <w:sz w:val="20"/>
              </w:rPr>
              <w:t>prinos Miskantus -(usvojena vrednost za proračune ukupnih potencijala) (t/ha)</w:t>
            </w:r>
          </w:p>
        </w:tc>
        <w:tc>
          <w:tcPr>
            <w:tcW w:w="1701" w:type="dxa"/>
            <w:shd w:val="clear" w:color="auto" w:fill="CBE9FA"/>
            <w:vAlign w:val="center"/>
          </w:tcPr>
          <w:p w:rsidR="00917616" w:rsidRPr="00786508" w:rsidRDefault="00917616" w:rsidP="00786508">
            <w:pPr>
              <w:spacing w:line="276" w:lineRule="auto"/>
              <w:ind w:right="306"/>
              <w:jc w:val="right"/>
              <w:rPr>
                <w:sz w:val="20"/>
              </w:rPr>
            </w:pPr>
            <w:r w:rsidRPr="00786508">
              <w:rPr>
                <w:sz w:val="20"/>
              </w:rPr>
              <w:t>11,5</w:t>
            </w:r>
          </w:p>
        </w:tc>
        <w:tc>
          <w:tcPr>
            <w:tcW w:w="1984" w:type="dxa"/>
            <w:shd w:val="clear" w:color="auto" w:fill="CBE9FA"/>
            <w:vAlign w:val="center"/>
          </w:tcPr>
          <w:p w:rsidR="00917616" w:rsidRPr="00786508" w:rsidRDefault="00917616" w:rsidP="00786508">
            <w:pPr>
              <w:spacing w:line="276" w:lineRule="auto"/>
              <w:ind w:right="306"/>
              <w:jc w:val="right"/>
              <w:rPr>
                <w:sz w:val="20"/>
              </w:rPr>
            </w:pPr>
            <w:r w:rsidRPr="00786508">
              <w:rPr>
                <w:sz w:val="20"/>
              </w:rPr>
              <w:t>11,5</w:t>
            </w:r>
          </w:p>
        </w:tc>
      </w:tr>
      <w:tr w:rsidR="00917616" w:rsidRPr="00786508" w:rsidTr="00786508">
        <w:trPr>
          <w:jc w:val="center"/>
        </w:trPr>
        <w:tc>
          <w:tcPr>
            <w:tcW w:w="4957" w:type="dxa"/>
            <w:shd w:val="clear" w:color="auto" w:fill="148DCD"/>
          </w:tcPr>
          <w:p w:rsidR="00917616" w:rsidRPr="00BE4401" w:rsidRDefault="00917616" w:rsidP="00786508">
            <w:pPr>
              <w:spacing w:line="276" w:lineRule="auto"/>
              <w:jc w:val="left"/>
              <w:rPr>
                <w:b/>
                <w:color w:val="FFFFFF"/>
                <w:sz w:val="20"/>
                <w:lang w:val="pl-PL"/>
              </w:rPr>
            </w:pPr>
            <w:r w:rsidRPr="00BE4401">
              <w:rPr>
                <w:b/>
                <w:color w:val="FFFFFF"/>
                <w:sz w:val="20"/>
                <w:lang w:val="pl-PL"/>
              </w:rPr>
              <w:t xml:space="preserve">Potencijalni ukupan prinos </w:t>
            </w:r>
            <w:r w:rsidRPr="00BE4401">
              <w:rPr>
                <w:b/>
                <w:i/>
                <w:color w:val="FFFFFF"/>
                <w:sz w:val="20"/>
                <w:lang w:val="pl-PL"/>
              </w:rPr>
              <w:t>Miskantus - (t)</w:t>
            </w:r>
          </w:p>
        </w:tc>
        <w:tc>
          <w:tcPr>
            <w:tcW w:w="1701" w:type="dxa"/>
            <w:shd w:val="clear" w:color="auto" w:fill="E9F1F9"/>
            <w:vAlign w:val="center"/>
          </w:tcPr>
          <w:p w:rsidR="00917616" w:rsidRPr="00786508" w:rsidRDefault="00917616" w:rsidP="00786508">
            <w:pPr>
              <w:spacing w:line="276" w:lineRule="auto"/>
              <w:ind w:right="306"/>
              <w:jc w:val="right"/>
              <w:rPr>
                <w:sz w:val="20"/>
              </w:rPr>
            </w:pPr>
            <w:r w:rsidRPr="00786508">
              <w:rPr>
                <w:sz w:val="20"/>
              </w:rPr>
              <w:t>216,744.37</w:t>
            </w:r>
          </w:p>
        </w:tc>
        <w:tc>
          <w:tcPr>
            <w:tcW w:w="1984" w:type="dxa"/>
            <w:shd w:val="clear" w:color="auto" w:fill="E9F1F9"/>
            <w:vAlign w:val="center"/>
          </w:tcPr>
          <w:p w:rsidR="00917616" w:rsidRPr="00786508" w:rsidRDefault="00917616" w:rsidP="00786508">
            <w:pPr>
              <w:spacing w:line="276" w:lineRule="auto"/>
              <w:ind w:right="306"/>
              <w:jc w:val="right"/>
              <w:rPr>
                <w:sz w:val="20"/>
              </w:rPr>
            </w:pPr>
            <w:r w:rsidRPr="00786508">
              <w:rPr>
                <w:sz w:val="20"/>
              </w:rPr>
              <w:t>206,321.36</w:t>
            </w:r>
          </w:p>
        </w:tc>
      </w:tr>
      <w:tr w:rsidR="00917616" w:rsidRPr="00786508" w:rsidTr="00786508">
        <w:trPr>
          <w:jc w:val="center"/>
        </w:trPr>
        <w:tc>
          <w:tcPr>
            <w:tcW w:w="4957" w:type="dxa"/>
            <w:shd w:val="clear" w:color="auto" w:fill="148DCD"/>
          </w:tcPr>
          <w:p w:rsidR="00917616" w:rsidRPr="00786508" w:rsidRDefault="00917616" w:rsidP="00786508">
            <w:pPr>
              <w:spacing w:line="276" w:lineRule="auto"/>
              <w:jc w:val="left"/>
              <w:rPr>
                <w:b/>
                <w:i/>
                <w:color w:val="FFFFFF"/>
                <w:sz w:val="20"/>
              </w:rPr>
            </w:pPr>
            <w:r w:rsidRPr="00786508">
              <w:rPr>
                <w:b/>
                <w:color w:val="FFFFFF"/>
                <w:sz w:val="20"/>
              </w:rPr>
              <w:t xml:space="preserve">Prosečan </w:t>
            </w:r>
            <w:r w:rsidRPr="00786508">
              <w:rPr>
                <w:b/>
                <w:i/>
                <w:color w:val="FFFFFF"/>
                <w:sz w:val="20"/>
              </w:rPr>
              <w:t xml:space="preserve">prinos </w:t>
            </w:r>
            <w:r w:rsidRPr="00786508">
              <w:rPr>
                <w:b/>
                <w:color w:val="FFFFFF"/>
                <w:sz w:val="20"/>
              </w:rPr>
              <w:t xml:space="preserve">Sirak za silažu - </w:t>
            </w:r>
            <w:r w:rsidRPr="00786508">
              <w:rPr>
                <w:b/>
                <w:i/>
                <w:color w:val="FFFFFF"/>
                <w:sz w:val="20"/>
              </w:rPr>
              <w:t>(usvojena vrednost za proračune ukupnih potencijala) (t/ha)</w:t>
            </w:r>
          </w:p>
        </w:tc>
        <w:tc>
          <w:tcPr>
            <w:tcW w:w="1701" w:type="dxa"/>
            <w:shd w:val="clear" w:color="auto" w:fill="CBE9FA"/>
            <w:vAlign w:val="center"/>
          </w:tcPr>
          <w:p w:rsidR="00917616" w:rsidRPr="00786508" w:rsidRDefault="00917616" w:rsidP="00786508">
            <w:pPr>
              <w:spacing w:line="276" w:lineRule="auto"/>
              <w:ind w:right="306"/>
              <w:jc w:val="right"/>
              <w:rPr>
                <w:sz w:val="20"/>
              </w:rPr>
            </w:pPr>
            <w:r w:rsidRPr="00786508">
              <w:rPr>
                <w:sz w:val="20"/>
              </w:rPr>
              <w:t>23,0</w:t>
            </w:r>
          </w:p>
        </w:tc>
        <w:tc>
          <w:tcPr>
            <w:tcW w:w="1984" w:type="dxa"/>
            <w:shd w:val="clear" w:color="auto" w:fill="CBE9FA"/>
            <w:vAlign w:val="center"/>
          </w:tcPr>
          <w:p w:rsidR="00917616" w:rsidRPr="00786508" w:rsidRDefault="00917616" w:rsidP="00786508">
            <w:pPr>
              <w:spacing w:line="276" w:lineRule="auto"/>
              <w:ind w:right="306"/>
              <w:jc w:val="right"/>
              <w:rPr>
                <w:sz w:val="20"/>
              </w:rPr>
            </w:pPr>
            <w:r w:rsidRPr="00786508">
              <w:rPr>
                <w:sz w:val="20"/>
              </w:rPr>
              <w:t>23,0</w:t>
            </w:r>
          </w:p>
        </w:tc>
      </w:tr>
      <w:tr w:rsidR="00917616" w:rsidRPr="00786508" w:rsidTr="00786508">
        <w:trPr>
          <w:jc w:val="center"/>
        </w:trPr>
        <w:tc>
          <w:tcPr>
            <w:tcW w:w="4957" w:type="dxa"/>
            <w:shd w:val="clear" w:color="auto" w:fill="148DCD"/>
          </w:tcPr>
          <w:p w:rsidR="00917616" w:rsidRPr="00BE4401" w:rsidRDefault="00917616" w:rsidP="00786508">
            <w:pPr>
              <w:spacing w:line="276" w:lineRule="auto"/>
              <w:jc w:val="left"/>
              <w:rPr>
                <w:b/>
                <w:color w:val="FFFFFF"/>
                <w:sz w:val="20"/>
                <w:lang w:val="pl-PL"/>
              </w:rPr>
            </w:pPr>
            <w:r w:rsidRPr="00BE4401">
              <w:rPr>
                <w:b/>
                <w:color w:val="FFFFFF"/>
                <w:sz w:val="20"/>
                <w:lang w:val="pl-PL"/>
              </w:rPr>
              <w:t xml:space="preserve">Potencijalni ukupan prinos Sirak za silažu - </w:t>
            </w:r>
            <w:r w:rsidRPr="00BE4401">
              <w:rPr>
                <w:b/>
                <w:i/>
                <w:color w:val="FFFFFF"/>
                <w:sz w:val="20"/>
                <w:lang w:val="pl-PL"/>
              </w:rPr>
              <w:t>(t)</w:t>
            </w:r>
          </w:p>
        </w:tc>
        <w:tc>
          <w:tcPr>
            <w:tcW w:w="1701" w:type="dxa"/>
            <w:shd w:val="clear" w:color="auto" w:fill="E9F1F9"/>
            <w:vAlign w:val="center"/>
          </w:tcPr>
          <w:p w:rsidR="00917616" w:rsidRPr="00786508" w:rsidRDefault="00917616" w:rsidP="00786508">
            <w:pPr>
              <w:spacing w:line="276" w:lineRule="auto"/>
              <w:ind w:right="306"/>
              <w:jc w:val="right"/>
              <w:rPr>
                <w:sz w:val="20"/>
              </w:rPr>
            </w:pPr>
            <w:r w:rsidRPr="00786508">
              <w:rPr>
                <w:sz w:val="20"/>
              </w:rPr>
              <w:t>433,488.75</w:t>
            </w:r>
          </w:p>
        </w:tc>
        <w:tc>
          <w:tcPr>
            <w:tcW w:w="1984" w:type="dxa"/>
            <w:shd w:val="clear" w:color="auto" w:fill="E9F1F9"/>
            <w:vAlign w:val="center"/>
          </w:tcPr>
          <w:p w:rsidR="00917616" w:rsidRPr="00786508" w:rsidRDefault="00917616" w:rsidP="00786508">
            <w:pPr>
              <w:spacing w:line="276" w:lineRule="auto"/>
              <w:ind w:right="306"/>
              <w:jc w:val="right"/>
              <w:rPr>
                <w:sz w:val="20"/>
              </w:rPr>
            </w:pPr>
            <w:r w:rsidRPr="00786508">
              <w:rPr>
                <w:sz w:val="20"/>
              </w:rPr>
              <w:t>412,642.71</w:t>
            </w:r>
          </w:p>
        </w:tc>
      </w:tr>
    </w:tbl>
    <w:p w:rsidR="00917616" w:rsidRPr="00171AFE" w:rsidRDefault="00917616" w:rsidP="00E7415E">
      <w:pPr>
        <w:overflowPunct/>
        <w:autoSpaceDE/>
        <w:autoSpaceDN/>
        <w:adjustRightInd/>
        <w:spacing w:line="276" w:lineRule="auto"/>
        <w:jc w:val="left"/>
        <w:textAlignment w:val="auto"/>
      </w:pPr>
    </w:p>
    <w:p w:rsidR="00917616" w:rsidRPr="00171AFE" w:rsidRDefault="00917616" w:rsidP="00E7415E">
      <w:pPr>
        <w:overflowPunct/>
        <w:autoSpaceDE/>
        <w:autoSpaceDN/>
        <w:adjustRightInd/>
        <w:spacing w:line="276" w:lineRule="auto"/>
        <w:jc w:val="left"/>
        <w:textAlignment w:val="auto"/>
      </w:pPr>
      <w:r w:rsidRPr="00171AFE">
        <w:t xml:space="preserve">Prikazane mogućnosti proizvodnje „energetskih kultura“ u poljoprivredi opravdavaju zasnivanje njihove proizvodnje u </w:t>
      </w:r>
      <w:r>
        <w:t>o</w:t>
      </w:r>
      <w:r w:rsidRPr="00171AFE">
        <w:t>pštini na zemljištima u kvalitetu od V do VIII klase.</w:t>
      </w:r>
    </w:p>
    <w:p w:rsidR="00917616" w:rsidRPr="00BE4401" w:rsidRDefault="00917616" w:rsidP="00E7415E">
      <w:pPr>
        <w:spacing w:line="276" w:lineRule="auto"/>
        <w:rPr>
          <w:lang w:val="pl-PL"/>
        </w:rPr>
      </w:pPr>
      <w:r w:rsidRPr="00171AFE">
        <w:t xml:space="preserve">Što se tiče mogućnosti uzgajanja </w:t>
      </w:r>
      <w:r w:rsidRPr="00171AFE">
        <w:rPr>
          <w:b/>
        </w:rPr>
        <w:t>drvenastih kultura</w:t>
      </w:r>
      <w:r w:rsidRPr="00171AFE">
        <w:t>, najčešće korišćene brzorastuće drv</w:t>
      </w:r>
      <w:r>
        <w:t>e</w:t>
      </w:r>
      <w:r w:rsidRPr="00171AFE">
        <w:t>n</w:t>
      </w:r>
      <w:r>
        <w:t>ast</w:t>
      </w:r>
      <w:r w:rsidRPr="00171AFE">
        <w:t xml:space="preserve">e vrste u Srbiji su topola, vrba i bagrem. Za potrebe ovog Programa preporučuje se gajenje vrbe Salix viminalis, varijetet Inger koja ima prednosti u odnosu na bagrem i topolu. I vrba i topola kao energetske kulture zahtevaju iste pripremne radove pri čemu topola zahteva obavezno navodnjavanje, a vrba daje zadovoljavajući prinos i bez navodnjavanja ukoliko se sadi na močvarnim zemljištima. </w:t>
      </w:r>
      <w:r w:rsidRPr="00BE4401">
        <w:rPr>
          <w:lang w:val="pl-PL"/>
        </w:rPr>
        <w:t>Trenutna istraživanja pokazuju da predloženi klon vrbe ima veću kalorijsku vrednost od topole i zato mu je data prednost za potrebe procene potencijala u ovom Programu.</w:t>
      </w:r>
    </w:p>
    <w:p w:rsidR="00917616" w:rsidRPr="00BE4401" w:rsidRDefault="00917616" w:rsidP="00E7415E">
      <w:pPr>
        <w:spacing w:line="276" w:lineRule="auto"/>
        <w:rPr>
          <w:lang w:val="pl-PL"/>
        </w:rPr>
      </w:pPr>
      <w:r w:rsidRPr="00BE4401">
        <w:rPr>
          <w:lang w:val="pl-PL"/>
        </w:rPr>
        <w:t>Iskustva sa oglednih površina kompanije „Rebina” na zemljištu V klase u Rumuniji na kome je bila zasađena vrba Salix viminalis, varijetet Inger, pokazala su da je prosečan prinos biomase nakon druge godine zasada iznosio 75,6 t/ha sa vlažnošću od 42%-48%. Ovako visok prinos postignut je u uslovima adekvatnog navodnjavanja i đubrenja. Prinos iz zasada iste vrbe na površini od 80 ha, na zemljištu V i VI klase, bez navodnjavanja i đubrenja, iznosio je 50 t/ha biomase vlažnosti oko 50%, takođe nakon druge godine. Ista kompanija objavila je i podatak o prosečnom prinosu ove brzorastuće drvenaste vrste na zemljištima VI i VII klase, sa navodnjavanjem i đubrenjem koji je iznosio 65 t/ha biomase prirodne vlažnosti nakon druge godine zasada. Navođenje rezultata i iskustava kompanije „Rebina” rezultat je činjenice da je ova kompanija najviše odmakla u praksi u smislu proizvodnje sadnog materijala i izvođenja ogleda na oglednim površinama u Jugoistočnoj Evropi. U Srbiji postoje manje ogledne površine zasada Salix viminalis od po nekoliko ari starosti nešto preko jedne godine. Iz tog razlog ovi zasadi još uvek nisu uporedivi sa zasadima iz drugih zemalja Jugoistočne Evrope.</w:t>
      </w:r>
    </w:p>
    <w:p w:rsidR="00917616" w:rsidRPr="00BE4401" w:rsidRDefault="00917616" w:rsidP="00E7415E">
      <w:pPr>
        <w:spacing w:line="276" w:lineRule="auto"/>
        <w:rPr>
          <w:lang w:val="pl-PL"/>
        </w:rPr>
      </w:pPr>
      <w:r w:rsidRPr="00BE4401">
        <w:rPr>
          <w:lang w:val="pl-PL"/>
        </w:rPr>
        <w:t>Pored karakteristika zemljišta i primene agrotehničkih mera (posebno navodnjavanja i đubrenja), prinos ove brzorastuće drvenaste vrste zavisi i od gustine sadnje, klimatskih faktora (količine padavina, temperature), karakteristika sadnog materijala i drugih.</w:t>
      </w:r>
    </w:p>
    <w:p w:rsidR="00917616" w:rsidRPr="00BE4401" w:rsidRDefault="00917616" w:rsidP="00E7415E">
      <w:pPr>
        <w:spacing w:line="276" w:lineRule="auto"/>
        <w:rPr>
          <w:lang w:val="pl-PL"/>
        </w:rPr>
      </w:pPr>
      <w:r w:rsidRPr="00BE4401">
        <w:rPr>
          <w:lang w:val="pl-PL"/>
        </w:rPr>
        <w:t xml:space="preserve">Izmajući u vidu napred navedeno kao i različita iskustva u pogledu prinosa na različitim zemljištima i pod uticajem različtih faktora za potrebe ovog Programa usvojena je prosečna vrednost prinosa vrbe Salix viminalis-varijetet Inger za zemljišta od VI-VIII klase od 47 tona/ha biomase prirodne vlažnosti nakon druge godine zasada. Usvojena vrednost predstavlja donju granicu prinosa koji se može značajno povećati primenom odgovarajućih agrotehničkih mera, posebno navodnjavanjem i đubrenjem. Izbor donje granice prinosa za dalje proračune u ovom Programu rezultat je pristupa da ako analize pokažu isplativost osnivanja i korišćenja zasada kratke ophodnje pri minimalnim prinosima onda će svaki prinos iznad minimalnog dodatno povećati isplativost i profitabilnost ovakvih zasada.  </w:t>
      </w:r>
    </w:p>
    <w:p w:rsidR="00917616" w:rsidRPr="00BE4401" w:rsidRDefault="00917616" w:rsidP="00E7415E">
      <w:pPr>
        <w:overflowPunct/>
        <w:autoSpaceDE/>
        <w:autoSpaceDN/>
        <w:adjustRightInd/>
        <w:spacing w:line="276" w:lineRule="auto"/>
        <w:jc w:val="left"/>
        <w:textAlignment w:val="auto"/>
        <w:rPr>
          <w:lang w:val="pl-PL"/>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Look w:val="00A0"/>
      </w:tblPr>
      <w:tblGrid>
        <w:gridCol w:w="2892"/>
        <w:gridCol w:w="2206"/>
        <w:gridCol w:w="3544"/>
      </w:tblGrid>
      <w:tr w:rsidR="00917616" w:rsidRPr="00BE4401" w:rsidTr="00786508">
        <w:trPr>
          <w:tblHeader/>
          <w:jc w:val="center"/>
        </w:trPr>
        <w:tc>
          <w:tcPr>
            <w:tcW w:w="2892" w:type="dxa"/>
            <w:shd w:val="clear" w:color="auto" w:fill="148DCD"/>
          </w:tcPr>
          <w:p w:rsidR="00917616" w:rsidRPr="00BE4401" w:rsidRDefault="00917616" w:rsidP="00786508">
            <w:pPr>
              <w:spacing w:line="276" w:lineRule="auto"/>
              <w:rPr>
                <w:b/>
                <w:color w:val="FFFFFF"/>
                <w:sz w:val="20"/>
                <w:lang w:val="pl-PL"/>
              </w:rPr>
            </w:pPr>
          </w:p>
        </w:tc>
        <w:tc>
          <w:tcPr>
            <w:tcW w:w="2206" w:type="dxa"/>
            <w:shd w:val="clear" w:color="auto" w:fill="148DCD"/>
          </w:tcPr>
          <w:p w:rsidR="00917616" w:rsidRPr="00BE4401" w:rsidRDefault="00917616" w:rsidP="00786508">
            <w:pPr>
              <w:spacing w:line="276" w:lineRule="auto"/>
              <w:rPr>
                <w:b/>
                <w:color w:val="FFFFFF"/>
                <w:sz w:val="20"/>
                <w:lang w:val="pl-PL"/>
              </w:rPr>
            </w:pPr>
            <w:r w:rsidRPr="00BE4401">
              <w:rPr>
                <w:b/>
                <w:color w:val="FFFFFF"/>
                <w:sz w:val="20"/>
                <w:lang w:val="pl-PL"/>
              </w:rPr>
              <w:t>Scenario 1 – poljoprivredno obradivo zemljište lošijeg kvaliteta</w:t>
            </w:r>
          </w:p>
        </w:tc>
        <w:tc>
          <w:tcPr>
            <w:tcW w:w="3544" w:type="dxa"/>
            <w:shd w:val="clear" w:color="auto" w:fill="148DCD"/>
          </w:tcPr>
          <w:p w:rsidR="00917616" w:rsidRPr="00BE4401" w:rsidRDefault="00917616" w:rsidP="00786508">
            <w:pPr>
              <w:spacing w:line="276" w:lineRule="auto"/>
              <w:rPr>
                <w:b/>
                <w:color w:val="FFFFFF"/>
                <w:sz w:val="20"/>
                <w:lang w:val="it-IT"/>
              </w:rPr>
            </w:pPr>
            <w:r w:rsidRPr="00BE4401">
              <w:rPr>
                <w:b/>
                <w:color w:val="FFFFFF"/>
                <w:sz w:val="20"/>
                <w:lang w:val="it-IT"/>
              </w:rPr>
              <w:t>Scenario 2 – samo njive i livade lošijeg kvaliteta</w:t>
            </w:r>
          </w:p>
        </w:tc>
      </w:tr>
      <w:tr w:rsidR="00917616" w:rsidRPr="00786508" w:rsidTr="00786508">
        <w:trPr>
          <w:jc w:val="center"/>
        </w:trPr>
        <w:tc>
          <w:tcPr>
            <w:tcW w:w="2892" w:type="dxa"/>
            <w:shd w:val="clear" w:color="auto" w:fill="148DCD"/>
          </w:tcPr>
          <w:p w:rsidR="00917616" w:rsidRPr="00BE4401" w:rsidRDefault="00917616" w:rsidP="00786508">
            <w:pPr>
              <w:spacing w:line="276" w:lineRule="auto"/>
              <w:rPr>
                <w:b/>
                <w:color w:val="FFFFFF"/>
                <w:sz w:val="20"/>
                <w:lang w:val="it-IT"/>
              </w:rPr>
            </w:pPr>
            <w:r w:rsidRPr="00BE4401">
              <w:rPr>
                <w:b/>
                <w:color w:val="FFFFFF"/>
                <w:sz w:val="20"/>
                <w:lang w:val="it-IT"/>
              </w:rPr>
              <w:t xml:space="preserve">Prosečan prinos vrbe </w:t>
            </w:r>
            <w:r w:rsidRPr="00BE4401">
              <w:rPr>
                <w:b/>
                <w:i/>
                <w:color w:val="FFFFFF"/>
                <w:sz w:val="20"/>
                <w:lang w:val="it-IT"/>
              </w:rPr>
              <w:t>Salix viminalis (usvojena vrednost za proračune ukupnih potencijala) (t/ha)</w:t>
            </w:r>
          </w:p>
        </w:tc>
        <w:tc>
          <w:tcPr>
            <w:tcW w:w="2206" w:type="dxa"/>
            <w:shd w:val="clear" w:color="auto" w:fill="CBE9FA"/>
            <w:vAlign w:val="center"/>
          </w:tcPr>
          <w:p w:rsidR="00917616" w:rsidRPr="00786508" w:rsidRDefault="00917616" w:rsidP="00786508">
            <w:pPr>
              <w:spacing w:line="276" w:lineRule="auto"/>
              <w:jc w:val="center"/>
              <w:rPr>
                <w:sz w:val="20"/>
              </w:rPr>
            </w:pPr>
            <w:r w:rsidRPr="00786508">
              <w:rPr>
                <w:sz w:val="20"/>
              </w:rPr>
              <w:t>47</w:t>
            </w:r>
          </w:p>
        </w:tc>
        <w:tc>
          <w:tcPr>
            <w:tcW w:w="3544" w:type="dxa"/>
            <w:shd w:val="clear" w:color="auto" w:fill="CBE9FA"/>
            <w:vAlign w:val="center"/>
          </w:tcPr>
          <w:p w:rsidR="00917616" w:rsidRPr="00786508" w:rsidRDefault="00917616" w:rsidP="00786508">
            <w:pPr>
              <w:spacing w:line="276" w:lineRule="auto"/>
              <w:jc w:val="center"/>
              <w:rPr>
                <w:sz w:val="20"/>
              </w:rPr>
            </w:pPr>
            <w:r w:rsidRPr="00786508">
              <w:rPr>
                <w:sz w:val="20"/>
              </w:rPr>
              <w:t>47</w:t>
            </w:r>
          </w:p>
        </w:tc>
      </w:tr>
      <w:tr w:rsidR="00917616" w:rsidRPr="00786508" w:rsidTr="00786508">
        <w:trPr>
          <w:jc w:val="center"/>
        </w:trPr>
        <w:tc>
          <w:tcPr>
            <w:tcW w:w="2892" w:type="dxa"/>
            <w:shd w:val="clear" w:color="auto" w:fill="148DCD"/>
          </w:tcPr>
          <w:p w:rsidR="00917616" w:rsidRPr="00786508" w:rsidRDefault="00917616" w:rsidP="00786508">
            <w:pPr>
              <w:spacing w:line="276" w:lineRule="auto"/>
              <w:rPr>
                <w:b/>
                <w:color w:val="FFFFFF"/>
                <w:sz w:val="20"/>
              </w:rPr>
            </w:pPr>
            <w:r w:rsidRPr="00786508">
              <w:rPr>
                <w:b/>
                <w:color w:val="FFFFFF"/>
                <w:sz w:val="20"/>
              </w:rPr>
              <w:t xml:space="preserve">Potencijalni prinos vrbe </w:t>
            </w:r>
            <w:r w:rsidRPr="00786508">
              <w:rPr>
                <w:b/>
                <w:i/>
                <w:color w:val="FFFFFF"/>
                <w:sz w:val="20"/>
              </w:rPr>
              <w:t>Salix viminalis (t)</w:t>
            </w:r>
          </w:p>
        </w:tc>
        <w:tc>
          <w:tcPr>
            <w:tcW w:w="2206" w:type="dxa"/>
            <w:shd w:val="clear" w:color="auto" w:fill="E9F1F9"/>
            <w:vAlign w:val="center"/>
          </w:tcPr>
          <w:p w:rsidR="00917616" w:rsidRPr="00786508" w:rsidRDefault="00917616" w:rsidP="00786508">
            <w:pPr>
              <w:spacing w:line="276" w:lineRule="auto"/>
              <w:jc w:val="center"/>
              <w:rPr>
                <w:sz w:val="20"/>
              </w:rPr>
            </w:pPr>
            <w:r w:rsidRPr="00786508">
              <w:rPr>
                <w:sz w:val="20"/>
              </w:rPr>
              <w:t>435.267</w:t>
            </w:r>
          </w:p>
          <w:p w:rsidR="00917616" w:rsidRPr="00786508" w:rsidRDefault="00917616" w:rsidP="00786508">
            <w:pPr>
              <w:spacing w:line="276" w:lineRule="auto"/>
              <w:jc w:val="center"/>
              <w:rPr>
                <w:sz w:val="20"/>
              </w:rPr>
            </w:pPr>
          </w:p>
        </w:tc>
        <w:tc>
          <w:tcPr>
            <w:tcW w:w="3544" w:type="dxa"/>
            <w:shd w:val="clear" w:color="auto" w:fill="E9F1F9"/>
            <w:vAlign w:val="center"/>
          </w:tcPr>
          <w:p w:rsidR="00917616" w:rsidRPr="00786508" w:rsidRDefault="00917616" w:rsidP="00786508">
            <w:pPr>
              <w:spacing w:line="276" w:lineRule="auto"/>
              <w:jc w:val="center"/>
              <w:rPr>
                <w:sz w:val="20"/>
              </w:rPr>
            </w:pPr>
            <w:r w:rsidRPr="00786508">
              <w:rPr>
                <w:sz w:val="20"/>
              </w:rPr>
              <w:t>430.332</w:t>
            </w:r>
          </w:p>
          <w:p w:rsidR="00917616" w:rsidRPr="00786508" w:rsidRDefault="00917616" w:rsidP="00786508">
            <w:pPr>
              <w:spacing w:line="276" w:lineRule="auto"/>
              <w:jc w:val="center"/>
              <w:rPr>
                <w:sz w:val="20"/>
              </w:rPr>
            </w:pPr>
          </w:p>
        </w:tc>
      </w:tr>
    </w:tbl>
    <w:p w:rsidR="00917616" w:rsidRPr="00171AFE" w:rsidRDefault="00917616" w:rsidP="00E7415E">
      <w:pPr>
        <w:overflowPunct/>
        <w:autoSpaceDE/>
        <w:autoSpaceDN/>
        <w:adjustRightInd/>
        <w:spacing w:line="276" w:lineRule="auto"/>
        <w:jc w:val="left"/>
        <w:textAlignment w:val="auto"/>
      </w:pPr>
    </w:p>
    <w:p w:rsidR="00917616" w:rsidRPr="00171AFE" w:rsidRDefault="00917616" w:rsidP="00E7415E">
      <w:pPr>
        <w:spacing w:line="276" w:lineRule="auto"/>
      </w:pPr>
      <w:r w:rsidRPr="00171AFE">
        <w:t xml:space="preserve">Potencijalni prinos drvne biomase iz zasada kratke ophodnje vrbe (ZKO), na poljoprivrednom zemljištu od VI do VIII klase kvaliteta, na teritoriji opštine </w:t>
      </w:r>
      <w:r>
        <w:t>Petrovac na Mlavi</w:t>
      </w:r>
      <w:r w:rsidRPr="00171AFE">
        <w:t xml:space="preserve"> u oba scenarija omogućavaju intenzivnije korišćenje biomase kako za zamenu fosilnih goriva u postojećim objektima ta</w:t>
      </w:r>
      <w:bookmarkStart w:id="13" w:name="_GoBack"/>
      <w:bookmarkEnd w:id="13"/>
      <w:r w:rsidRPr="00171AFE">
        <w:t xml:space="preserve">ko i za veliki broj budućih objekata.  </w:t>
      </w:r>
    </w:p>
    <w:p w:rsidR="00917616" w:rsidRPr="000345E1" w:rsidRDefault="00917616" w:rsidP="00E7415E">
      <w:pPr>
        <w:spacing w:line="276" w:lineRule="auto"/>
      </w:pPr>
    </w:p>
    <w:p w:rsidR="00917616" w:rsidRPr="000345E1" w:rsidRDefault="00917616" w:rsidP="00E7415E">
      <w:pPr>
        <w:spacing w:line="276" w:lineRule="auto"/>
      </w:pPr>
    </w:p>
    <w:p w:rsidR="00917616" w:rsidRPr="00E901F0" w:rsidRDefault="00917616" w:rsidP="00E901F0">
      <w:pPr>
        <w:overflowPunct/>
        <w:autoSpaceDE/>
        <w:autoSpaceDN/>
        <w:adjustRightInd/>
        <w:spacing w:line="276" w:lineRule="auto"/>
        <w:jc w:val="left"/>
        <w:textAlignment w:val="auto"/>
        <w:rPr>
          <w:b/>
        </w:rPr>
      </w:pPr>
      <w:r w:rsidRPr="000345E1">
        <w:br w:type="page"/>
      </w:r>
      <w:bookmarkStart w:id="14" w:name="_Toc531367208"/>
      <w:r w:rsidRPr="00E901F0">
        <w:rPr>
          <w:b/>
        </w:rPr>
        <w:t>SWOT analiza</w:t>
      </w:r>
      <w:bookmarkEnd w:id="14"/>
    </w:p>
    <w:p w:rsidR="00917616" w:rsidRPr="000345E1" w:rsidRDefault="00917616" w:rsidP="00E7415E">
      <w:pPr>
        <w:spacing w:line="276" w:lineRule="auto"/>
      </w:pPr>
      <w:r w:rsidRPr="000345E1">
        <w:t>Na bazi sprovedenih istraživanja u nastavku je predstavljena matrica SWOT analize za biomasu opštine Petrovac na Mlavi.</w:t>
      </w:r>
    </w:p>
    <w:p w:rsidR="00917616" w:rsidRPr="000345E1" w:rsidRDefault="00917616" w:rsidP="00E7415E">
      <w:pPr>
        <w:spacing w:line="276" w:lineRule="auto"/>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606"/>
        <w:gridCol w:w="4606"/>
      </w:tblGrid>
      <w:tr w:rsidR="00917616" w:rsidRPr="00786508" w:rsidTr="00786508">
        <w:tc>
          <w:tcPr>
            <w:tcW w:w="4606" w:type="dxa"/>
            <w:shd w:val="clear" w:color="1F497D" w:fill="E9F1F9"/>
          </w:tcPr>
          <w:p w:rsidR="00917616" w:rsidRPr="00786508" w:rsidRDefault="00917616" w:rsidP="00786508">
            <w:pPr>
              <w:spacing w:line="276" w:lineRule="auto"/>
              <w:rPr>
                <w:rFonts w:ascii="Arial Narrow" w:hAnsi="Arial Narrow"/>
                <w:b/>
                <w:i/>
              </w:rPr>
            </w:pPr>
            <w:r w:rsidRPr="00786508">
              <w:rPr>
                <w:rFonts w:ascii="Arial Narrow" w:hAnsi="Arial Narrow"/>
                <w:b/>
                <w:i/>
              </w:rPr>
              <w:t>Strenghts / Snaga</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 xml:space="preserve">Postojanje svesti kod donosioca odluka o značaju korišćenja ekoloških umesto foisilnih goriva </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 xml:space="preserve">Postojanje pozitivnih iskustava sa objektima u kojima se koriste drva goriva   </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Zakonodavni okvir podstiče energetsku efikasnost i zamenu fosilnih goriva</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Postojanje energetskog menadžmenta</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Postojanje lokalnih proizvođača drvnih goriva</w:t>
            </w:r>
          </w:p>
          <w:p w:rsidR="00917616" w:rsidRPr="00786508" w:rsidRDefault="00917616" w:rsidP="00786508">
            <w:pPr>
              <w:spacing w:line="276" w:lineRule="auto"/>
              <w:rPr>
                <w:rFonts w:ascii="Arial Narrow" w:hAnsi="Arial Narrow"/>
                <w:b/>
                <w:i/>
              </w:rPr>
            </w:pPr>
          </w:p>
        </w:tc>
        <w:tc>
          <w:tcPr>
            <w:tcW w:w="4606" w:type="dxa"/>
            <w:shd w:val="clear" w:color="1F497D" w:fill="E9F1F9"/>
          </w:tcPr>
          <w:p w:rsidR="00917616" w:rsidRPr="00786508" w:rsidRDefault="00917616" w:rsidP="00786508">
            <w:pPr>
              <w:spacing w:line="276" w:lineRule="auto"/>
              <w:rPr>
                <w:rFonts w:ascii="Arial Narrow" w:hAnsi="Arial Narrow"/>
                <w:b/>
                <w:i/>
              </w:rPr>
            </w:pPr>
            <w:r w:rsidRPr="00786508">
              <w:rPr>
                <w:rFonts w:ascii="Arial Narrow" w:hAnsi="Arial Narrow"/>
                <w:b/>
                <w:i/>
              </w:rPr>
              <w:t>Weaknesses / Slabosti</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b/>
                <w:i/>
                <w:lang w:val="pl-PL"/>
              </w:rPr>
            </w:pPr>
            <w:r w:rsidRPr="00BE4401">
              <w:rPr>
                <w:rFonts w:ascii="Arial Narrow" w:hAnsi="Arial Narrow"/>
                <w:i/>
                <w:lang w:val="pl-PL"/>
              </w:rPr>
              <w:t>Niski potencijali za drvnu biomasu u opštini</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Nedostatak sopstvenih finansijskih sredstava,</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Razuđenost najvećeg broja objekata koja uslovljava individualne kotlarnice i sisteme grejanja</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786508">
              <w:rPr>
                <w:rFonts w:ascii="Arial Narrow" w:hAnsi="Arial Narrow"/>
                <w:i/>
              </w:rPr>
              <w:t>Biomasa se ne smatra uvek robom koja ima svoju tržišnu vrednost već se smatra socijalnom kategorijom</w:t>
            </w:r>
          </w:p>
          <w:p w:rsidR="00917616" w:rsidRPr="00786508" w:rsidRDefault="00917616" w:rsidP="00786508">
            <w:pPr>
              <w:spacing w:line="276" w:lineRule="auto"/>
              <w:ind w:left="284"/>
              <w:rPr>
                <w:rFonts w:ascii="Arial Narrow" w:hAnsi="Arial Narrow"/>
                <w:b/>
                <w:i/>
              </w:rPr>
            </w:pPr>
          </w:p>
        </w:tc>
      </w:tr>
      <w:tr w:rsidR="00917616" w:rsidRPr="00BE4401" w:rsidTr="00786508">
        <w:tc>
          <w:tcPr>
            <w:tcW w:w="4606" w:type="dxa"/>
            <w:shd w:val="clear" w:color="1F497D" w:fill="E9F1F9"/>
          </w:tcPr>
          <w:p w:rsidR="00917616" w:rsidRPr="00786508" w:rsidRDefault="00917616" w:rsidP="00786508">
            <w:pPr>
              <w:spacing w:line="276" w:lineRule="auto"/>
              <w:rPr>
                <w:rFonts w:ascii="Arial Narrow" w:hAnsi="Arial Narrow"/>
                <w:b/>
                <w:i/>
              </w:rPr>
            </w:pPr>
            <w:r w:rsidRPr="00786508">
              <w:rPr>
                <w:rFonts w:ascii="Arial Narrow" w:hAnsi="Arial Narrow"/>
                <w:b/>
                <w:i/>
              </w:rPr>
              <w:t>Opportunities / Prilike</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b/>
                <w:i/>
                <w:lang w:val="pl-PL"/>
              </w:rPr>
            </w:pPr>
            <w:r w:rsidRPr="00BE4401">
              <w:rPr>
                <w:rFonts w:ascii="Arial Narrow" w:hAnsi="Arial Narrow"/>
                <w:i/>
                <w:lang w:val="pl-PL"/>
              </w:rPr>
              <w:t>Postojanje potreba za prevođenjem javnih objekata  na biomasu</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b/>
                <w:i/>
              </w:rPr>
            </w:pPr>
            <w:r w:rsidRPr="00BE4401">
              <w:rPr>
                <w:rFonts w:ascii="Arial Narrow" w:hAnsi="Arial Narrow"/>
                <w:b/>
                <w:i/>
                <w:lang w:val="pl-PL"/>
              </w:rPr>
              <w:t xml:space="preserve"> </w:t>
            </w:r>
            <w:r w:rsidRPr="00786508">
              <w:rPr>
                <w:rFonts w:ascii="Arial Narrow" w:hAnsi="Arial Narrow"/>
                <w:i/>
              </w:rPr>
              <w:t>Smanjenje zagađenja životne sredine</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b/>
                <w:i/>
                <w:lang w:val="pl-PL"/>
              </w:rPr>
            </w:pPr>
            <w:r w:rsidRPr="00BE4401">
              <w:rPr>
                <w:rFonts w:ascii="Arial Narrow" w:hAnsi="Arial Narrow"/>
                <w:i/>
                <w:lang w:val="pl-PL"/>
              </w:rPr>
              <w:t xml:space="preserve">Postojanje donatorskih programa za nabavku kotlova i instalacija na biomasu </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b/>
                <w:i/>
                <w:lang w:val="pl-PL"/>
              </w:rPr>
            </w:pPr>
            <w:r w:rsidRPr="00BE4401">
              <w:rPr>
                <w:rFonts w:ascii="Arial Narrow" w:hAnsi="Arial Narrow"/>
                <w:i/>
                <w:lang w:val="pl-PL"/>
              </w:rPr>
              <w:t xml:space="preserve">Postojanje domaćih fondova, Fond za energetsku efikasnost, KUJU  </w:t>
            </w:r>
          </w:p>
          <w:p w:rsidR="00917616" w:rsidRPr="00BE4401" w:rsidRDefault="00917616" w:rsidP="00BE4401">
            <w:pPr>
              <w:pStyle w:val="ListParagraph"/>
              <w:numPr>
                <w:ilvl w:val="0"/>
                <w:numId w:val="27"/>
              </w:numPr>
              <w:spacing w:line="276" w:lineRule="auto"/>
              <w:ind w:left="709" w:hanging="425"/>
              <w:contextualSpacing w:val="0"/>
              <w:textAlignment w:val="auto"/>
              <w:rPr>
                <w:rFonts w:ascii="Arial Narrow" w:hAnsi="Arial Narrow"/>
                <w:b/>
                <w:i/>
                <w:lang w:val="pl-PL"/>
              </w:rPr>
            </w:pPr>
            <w:r w:rsidRPr="00BE4401">
              <w:rPr>
                <w:rFonts w:ascii="Arial Narrow" w:hAnsi="Arial Narrow"/>
                <w:i/>
                <w:lang w:val="pl-PL"/>
              </w:rPr>
              <w:t>Postojanje poljoprovrednog zemljišta loših kategorija u državnom vlasništvu kao baze za podizanje drvenastih zasada kratke ophodnje za proizvodnju drvne biomase za energiju</w:t>
            </w:r>
          </w:p>
          <w:p w:rsidR="00917616" w:rsidRPr="00BE4401" w:rsidRDefault="00917616" w:rsidP="00786508">
            <w:pPr>
              <w:pStyle w:val="ListParagraph"/>
              <w:spacing w:line="276" w:lineRule="auto"/>
              <w:ind w:left="709" w:firstLine="0"/>
              <w:contextualSpacing w:val="0"/>
              <w:rPr>
                <w:rFonts w:ascii="Arial Narrow" w:hAnsi="Arial Narrow"/>
                <w:b/>
                <w:i/>
                <w:lang w:val="pl-PL"/>
              </w:rPr>
            </w:pPr>
          </w:p>
          <w:p w:rsidR="00917616" w:rsidRPr="00BE4401" w:rsidRDefault="00917616" w:rsidP="00786508">
            <w:pPr>
              <w:pStyle w:val="ListParagraph"/>
              <w:spacing w:line="276" w:lineRule="auto"/>
              <w:ind w:left="709" w:firstLine="0"/>
              <w:contextualSpacing w:val="0"/>
              <w:rPr>
                <w:rFonts w:ascii="Arial Narrow" w:hAnsi="Arial Narrow"/>
                <w:b/>
                <w:i/>
                <w:lang w:val="pl-PL"/>
              </w:rPr>
            </w:pPr>
          </w:p>
        </w:tc>
        <w:tc>
          <w:tcPr>
            <w:tcW w:w="4606" w:type="dxa"/>
            <w:shd w:val="clear" w:color="1F497D" w:fill="E9F1F9"/>
          </w:tcPr>
          <w:p w:rsidR="00917616" w:rsidRPr="00786508" w:rsidRDefault="00917616" w:rsidP="00786508">
            <w:pPr>
              <w:spacing w:line="276" w:lineRule="auto"/>
              <w:rPr>
                <w:rFonts w:ascii="Arial Narrow" w:hAnsi="Arial Narrow"/>
                <w:b/>
                <w:i/>
              </w:rPr>
            </w:pPr>
            <w:r w:rsidRPr="00786508">
              <w:rPr>
                <w:rFonts w:ascii="Arial Narrow" w:hAnsi="Arial Narrow"/>
                <w:b/>
                <w:i/>
              </w:rPr>
              <w:t>Threats / Pretnje</w:t>
            </w:r>
          </w:p>
          <w:p w:rsidR="00917616" w:rsidRPr="00786508" w:rsidRDefault="00917616" w:rsidP="00BE4401">
            <w:pPr>
              <w:pStyle w:val="ListParagraph"/>
              <w:numPr>
                <w:ilvl w:val="0"/>
                <w:numId w:val="18"/>
              </w:numPr>
              <w:spacing w:line="276" w:lineRule="auto"/>
              <w:ind w:left="709" w:hanging="425"/>
              <w:contextualSpacing w:val="0"/>
              <w:rPr>
                <w:rFonts w:ascii="Arial Narrow" w:hAnsi="Arial Narrow"/>
                <w:i/>
              </w:rPr>
            </w:pPr>
            <w:r w:rsidRPr="00786508">
              <w:rPr>
                <w:rFonts w:ascii="Arial Narrow" w:hAnsi="Arial Narrow"/>
                <w:i/>
              </w:rPr>
              <w:t>Niska cena električne energije,</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i/>
                <w:lang w:val="pl-PL"/>
              </w:rPr>
            </w:pPr>
            <w:r w:rsidRPr="00BE4401">
              <w:rPr>
                <w:rFonts w:ascii="Arial Narrow" w:hAnsi="Arial Narrow"/>
                <w:i/>
                <w:lang w:val="pl-PL"/>
              </w:rPr>
              <w:t xml:space="preserve"> Rastuća potražnja za drvnom biomasom u drugim regionima i s tim u vezi mogući rast cena</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i/>
                <w:lang w:val="pl-PL"/>
              </w:rPr>
            </w:pPr>
            <w:r w:rsidRPr="00BE4401">
              <w:rPr>
                <w:rFonts w:ascii="Arial Narrow" w:hAnsi="Arial Narrow"/>
                <w:i/>
                <w:lang w:val="pl-PL"/>
              </w:rPr>
              <w:t>Niska finansijska snaga domaćinstava za zamenu starih neefikasnih ložnih uređaja novim i efikasnijim uređajima</w:t>
            </w:r>
          </w:p>
          <w:p w:rsidR="00917616" w:rsidRPr="00BE4401" w:rsidRDefault="00917616" w:rsidP="00BE4401">
            <w:pPr>
              <w:pStyle w:val="ListParagraph"/>
              <w:numPr>
                <w:ilvl w:val="0"/>
                <w:numId w:val="18"/>
              </w:numPr>
              <w:spacing w:line="276" w:lineRule="auto"/>
              <w:ind w:left="709" w:hanging="425"/>
              <w:contextualSpacing w:val="0"/>
              <w:rPr>
                <w:rFonts w:ascii="Arial Narrow" w:hAnsi="Arial Narrow"/>
                <w:i/>
                <w:lang w:val="pl-PL"/>
              </w:rPr>
            </w:pPr>
            <w:r w:rsidRPr="00BE4401">
              <w:rPr>
                <w:rFonts w:ascii="Arial Narrow" w:hAnsi="Arial Narrow"/>
                <w:i/>
                <w:lang w:val="pl-PL"/>
              </w:rPr>
              <w:t>Moguće izmene u zakonodavnom okviru i podsticajima</w:t>
            </w:r>
          </w:p>
        </w:tc>
      </w:tr>
    </w:tbl>
    <w:p w:rsidR="00917616" w:rsidRPr="00BE4401" w:rsidRDefault="00917616" w:rsidP="00E7415E">
      <w:pPr>
        <w:spacing w:line="276" w:lineRule="auto"/>
        <w:rPr>
          <w:lang w:val="pl-PL"/>
        </w:rPr>
      </w:pPr>
    </w:p>
    <w:p w:rsidR="00917616" w:rsidRPr="00BE4401" w:rsidRDefault="00917616" w:rsidP="00E7415E">
      <w:pPr>
        <w:spacing w:line="276" w:lineRule="auto"/>
        <w:rPr>
          <w:lang w:val="pl-PL"/>
        </w:rPr>
      </w:pPr>
    </w:p>
    <w:p w:rsidR="00917616" w:rsidRPr="00BE4401" w:rsidRDefault="00917616" w:rsidP="00E7415E">
      <w:pPr>
        <w:overflowPunct/>
        <w:autoSpaceDE/>
        <w:autoSpaceDN/>
        <w:adjustRightInd/>
        <w:spacing w:line="276" w:lineRule="auto"/>
        <w:jc w:val="left"/>
        <w:textAlignment w:val="auto"/>
        <w:rPr>
          <w:lang w:val="pl-PL"/>
        </w:rPr>
      </w:pPr>
      <w:r w:rsidRPr="00BE4401">
        <w:rPr>
          <w:lang w:val="pl-PL"/>
        </w:rPr>
        <w:br w:type="page"/>
      </w:r>
    </w:p>
    <w:p w:rsidR="00917616" w:rsidRPr="002A4FF9" w:rsidRDefault="00917616" w:rsidP="00E7415E">
      <w:pPr>
        <w:pStyle w:val="Heading1"/>
        <w:numPr>
          <w:ilvl w:val="0"/>
          <w:numId w:val="12"/>
        </w:numPr>
        <w:spacing w:before="0" w:after="120" w:line="276" w:lineRule="auto"/>
      </w:pPr>
      <w:bookmarkStart w:id="15" w:name="_Toc531367209"/>
      <w:r w:rsidRPr="002A4FF9">
        <w:t>MERE ZA POSTIZANJE CILJEVA PROGRAMA</w:t>
      </w:r>
      <w:bookmarkEnd w:id="15"/>
    </w:p>
    <w:p w:rsidR="00917616" w:rsidRPr="000345E1" w:rsidRDefault="00917616" w:rsidP="00E7415E">
      <w:pPr>
        <w:spacing w:line="276" w:lineRule="auto"/>
        <w:rPr>
          <w:i/>
        </w:rPr>
      </w:pPr>
      <w:r w:rsidRPr="000345E1">
        <w:rPr>
          <w:i/>
        </w:rPr>
        <w:t>U skladu sa postavljenim ciljevima Programa za korišćenje biomase u energetske svrhe u opštini Petrovac na Mlavi u nastavku su predstavljene potrebne mere za realizaciju postavljenih ciljeva.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Look w:val="00A0"/>
      </w:tblPr>
      <w:tblGrid>
        <w:gridCol w:w="1754"/>
        <w:gridCol w:w="7308"/>
      </w:tblGrid>
      <w:tr w:rsidR="00917616" w:rsidRPr="00786508" w:rsidTr="00786508">
        <w:trPr>
          <w:tblHeader/>
        </w:trPr>
        <w:tc>
          <w:tcPr>
            <w:tcW w:w="1754" w:type="dxa"/>
            <w:shd w:val="clear" w:color="auto" w:fill="148DCD"/>
          </w:tcPr>
          <w:p w:rsidR="00917616" w:rsidRPr="00786508" w:rsidRDefault="00917616" w:rsidP="00786508">
            <w:pPr>
              <w:spacing w:line="276" w:lineRule="auto"/>
              <w:rPr>
                <w:b/>
                <w:color w:val="FFFFFF"/>
                <w:sz w:val="20"/>
              </w:rPr>
            </w:pPr>
          </w:p>
          <w:p w:rsidR="00917616" w:rsidRPr="00786508" w:rsidRDefault="00917616" w:rsidP="00786508">
            <w:pPr>
              <w:spacing w:line="276" w:lineRule="auto"/>
              <w:rPr>
                <w:b/>
                <w:color w:val="FFFFFF"/>
                <w:sz w:val="20"/>
              </w:rPr>
            </w:pPr>
            <w:r w:rsidRPr="00786508">
              <w:rPr>
                <w:b/>
                <w:color w:val="FFFFFF"/>
                <w:sz w:val="20"/>
              </w:rPr>
              <w:t>MERA 1</w:t>
            </w:r>
          </w:p>
        </w:tc>
        <w:tc>
          <w:tcPr>
            <w:tcW w:w="7308" w:type="dxa"/>
            <w:shd w:val="clear" w:color="auto" w:fill="148DCD"/>
          </w:tcPr>
          <w:p w:rsidR="00917616" w:rsidRPr="00786508" w:rsidRDefault="00917616" w:rsidP="00786508">
            <w:pPr>
              <w:spacing w:line="276" w:lineRule="auto"/>
              <w:rPr>
                <w:b/>
                <w:color w:val="FFFFFF"/>
                <w:sz w:val="20"/>
              </w:rPr>
            </w:pPr>
            <w:r w:rsidRPr="00786508">
              <w:rPr>
                <w:b/>
                <w:color w:val="FFFFFF"/>
                <w:sz w:val="20"/>
              </w:rPr>
              <w:t>Zamena mazuta u matičnoj osnovnoj školi u selu Šetonje i  unapređenje energetske efikasnosti u objektima osnovnih škola u selima Veliko Laole i Ranovac kroz zamenu uglja, metarskog drveta i postojećih kotlova sa novim efikasnijim kotlovima na drvnu sečku</w:t>
            </w:r>
          </w:p>
        </w:tc>
      </w:tr>
      <w:tr w:rsidR="00917616" w:rsidRPr="00786508"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Cilj:</w:t>
            </w:r>
          </w:p>
        </w:tc>
        <w:tc>
          <w:tcPr>
            <w:tcW w:w="7308" w:type="dxa"/>
            <w:shd w:val="clear" w:color="auto" w:fill="CBE9FA"/>
          </w:tcPr>
          <w:p w:rsidR="00917616" w:rsidRPr="00786508" w:rsidRDefault="00917616" w:rsidP="00786508">
            <w:pPr>
              <w:spacing w:line="276" w:lineRule="auto"/>
              <w:rPr>
                <w:sz w:val="20"/>
              </w:rPr>
            </w:pPr>
            <w:r w:rsidRPr="00786508">
              <w:rPr>
                <w:sz w:val="20"/>
              </w:rPr>
              <w:t>Izvršiti zamenu lož ulja, uglja i metarskog drveta sa biomasom u formi drvne sečke za decentralizovano grejanje školskih objekata u selima Šetonje, Veliko Laole i Ranovac</w:t>
            </w:r>
          </w:p>
        </w:tc>
      </w:tr>
      <w:tr w:rsidR="00917616" w:rsidRPr="00BE4401"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Nosilac</w:t>
            </w:r>
          </w:p>
        </w:tc>
        <w:tc>
          <w:tcPr>
            <w:tcW w:w="7308" w:type="dxa"/>
            <w:shd w:val="clear" w:color="auto" w:fill="E9F1F9"/>
          </w:tcPr>
          <w:p w:rsidR="00917616" w:rsidRPr="00BE4401" w:rsidRDefault="00917616" w:rsidP="00786508">
            <w:pPr>
              <w:spacing w:line="276" w:lineRule="auto"/>
              <w:rPr>
                <w:sz w:val="20"/>
                <w:lang w:val="pl-PL"/>
              </w:rPr>
            </w:pPr>
            <w:r w:rsidRPr="00BE4401">
              <w:rPr>
                <w:sz w:val="20"/>
                <w:lang w:val="pl-PL"/>
              </w:rPr>
              <w:t>Lokalna samouprava, direktori škola, nadležno ministarstvo</w:t>
            </w:r>
          </w:p>
        </w:tc>
      </w:tr>
      <w:tr w:rsidR="00917616" w:rsidRPr="00BE4401"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Opis</w:t>
            </w:r>
          </w:p>
        </w:tc>
        <w:tc>
          <w:tcPr>
            <w:tcW w:w="7308" w:type="dxa"/>
            <w:shd w:val="clear" w:color="auto" w:fill="CBE9FA"/>
          </w:tcPr>
          <w:p w:rsidR="00917616" w:rsidRPr="00786508" w:rsidRDefault="00917616" w:rsidP="00786508">
            <w:pPr>
              <w:spacing w:line="276" w:lineRule="auto"/>
              <w:rPr>
                <w:sz w:val="20"/>
              </w:rPr>
            </w:pPr>
            <w:r w:rsidRPr="00786508">
              <w:rPr>
                <w:sz w:val="20"/>
              </w:rPr>
              <w:t>Za potrebe objekata osnovnih škola u selima Šetonje, Veliko Laole i Ranovac godišnje se troši oko 17 tona mazuta, 127 tona uglja i oko 60 m</w:t>
            </w:r>
            <w:r w:rsidRPr="00786508">
              <w:rPr>
                <w:sz w:val="20"/>
                <w:vertAlign w:val="superscript"/>
              </w:rPr>
              <w:t>3</w:t>
            </w:r>
            <w:r w:rsidRPr="00786508">
              <w:rPr>
                <w:sz w:val="20"/>
              </w:rPr>
              <w:t xml:space="preserve"> ogrevnog metarskog drveta. Iz kotlarnice osnovne škole u selu Veliko Laole toplotnom energijom snabdeva se i objekat obdaništa. </w:t>
            </w:r>
          </w:p>
          <w:p w:rsidR="00917616" w:rsidRPr="00786508" w:rsidRDefault="00917616" w:rsidP="00786508">
            <w:pPr>
              <w:spacing w:line="276" w:lineRule="auto"/>
              <w:rPr>
                <w:sz w:val="20"/>
              </w:rPr>
            </w:pPr>
          </w:p>
          <w:p w:rsidR="00917616" w:rsidRPr="00BE4401" w:rsidRDefault="00917616" w:rsidP="00786508">
            <w:pPr>
              <w:spacing w:line="276" w:lineRule="auto"/>
              <w:rPr>
                <w:sz w:val="20"/>
                <w:lang w:val="pl-PL"/>
              </w:rPr>
            </w:pPr>
            <w:r w:rsidRPr="00BE4401">
              <w:rPr>
                <w:sz w:val="20"/>
                <w:lang w:val="pl-PL"/>
              </w:rPr>
              <w:t xml:space="preserve">Nabavna cena mazuta u septembru 2018. je bila je skoro dva puta veća u odnosu na nabavnu cenu mazuta u septembru 2017. godine. To će duplirati troškove grejanja u grejnoj sezoni 2018/2019. u odnosu na prethodnu grejnu sezonu u osnovnoj školi u selu Šetonje. </w:t>
            </w:r>
          </w:p>
          <w:p w:rsidR="00917616" w:rsidRPr="00BE4401" w:rsidRDefault="00917616" w:rsidP="00786508">
            <w:pPr>
              <w:spacing w:line="276" w:lineRule="auto"/>
              <w:rPr>
                <w:sz w:val="20"/>
                <w:highlight w:val="yellow"/>
                <w:lang w:val="pl-PL"/>
              </w:rPr>
            </w:pPr>
            <w:r w:rsidRPr="00BE4401">
              <w:rPr>
                <w:sz w:val="20"/>
                <w:lang w:val="pl-PL"/>
              </w:rPr>
              <w:t>Kada su u pitanjuu školski objekti u selima Veliko Laole i Ranovac za njihove potrebe godišnje se potroši preko 125 tona uglja i oko 60 m</w:t>
            </w:r>
            <w:r w:rsidRPr="00BE4401">
              <w:rPr>
                <w:sz w:val="20"/>
                <w:vertAlign w:val="superscript"/>
                <w:lang w:val="pl-PL"/>
              </w:rPr>
              <w:t>3</w:t>
            </w:r>
            <w:r w:rsidRPr="00BE4401">
              <w:rPr>
                <w:sz w:val="20"/>
                <w:lang w:val="pl-PL"/>
              </w:rPr>
              <w:t xml:space="preserve"> ogrevnog drveta koji se nabavljaju na tenderu i skladište u školskom dvorištu. Manipulacija drvetom i loženje u kotao se obavljaju ručno. Za potrebe grejanja ova dva objekta, pored zamene energenata, biće izvršena i zamena starih i neefikasnih kotlova sa novim efikasnim kotlovima na drvnu biomasu (drvna sečka). Time će se povećati energetska efikasnost sistema za grejanje, efikasnost sagorevanja biomase, smanjiti zagađenost životne sredine i smanjiti troškovi grejanja. Predložene zamene će se vršiti postepeno po utvrđenom planu i dinamici koji će biti sačinjen od strane lokalne samopurave i direktora škola. </w:t>
            </w:r>
          </w:p>
        </w:tc>
      </w:tr>
      <w:tr w:rsidR="00917616" w:rsidRPr="00786508"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Period implementacije</w:t>
            </w:r>
          </w:p>
        </w:tc>
        <w:tc>
          <w:tcPr>
            <w:tcW w:w="7308" w:type="dxa"/>
            <w:shd w:val="clear" w:color="auto" w:fill="E9F1F9"/>
            <w:vAlign w:val="center"/>
          </w:tcPr>
          <w:p w:rsidR="00917616" w:rsidRPr="00786508" w:rsidRDefault="00917616" w:rsidP="00786508">
            <w:pPr>
              <w:spacing w:line="276" w:lineRule="auto"/>
              <w:jc w:val="left"/>
              <w:rPr>
                <w:sz w:val="20"/>
              </w:rPr>
            </w:pPr>
            <w:r w:rsidRPr="00786508">
              <w:rPr>
                <w:sz w:val="20"/>
              </w:rPr>
              <w:t>20</w:t>
            </w:r>
            <w:r>
              <w:rPr>
                <w:sz w:val="20"/>
              </w:rPr>
              <w:t>21</w:t>
            </w:r>
            <w:r w:rsidRPr="00786508">
              <w:rPr>
                <w:sz w:val="20"/>
              </w:rPr>
              <w:t>-202</w:t>
            </w:r>
            <w:r>
              <w:rPr>
                <w:sz w:val="20"/>
              </w:rPr>
              <w:t>4</w:t>
            </w:r>
            <w:r w:rsidRPr="00786508">
              <w:rPr>
                <w:sz w:val="20"/>
              </w:rPr>
              <w:t>.</w:t>
            </w:r>
          </w:p>
        </w:tc>
      </w:tr>
      <w:tr w:rsidR="00917616" w:rsidRPr="00786508"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Izvori finansiranja</w:t>
            </w:r>
          </w:p>
        </w:tc>
        <w:tc>
          <w:tcPr>
            <w:tcW w:w="7308" w:type="dxa"/>
            <w:shd w:val="clear" w:color="auto" w:fill="CBE9FA"/>
          </w:tcPr>
          <w:p w:rsidR="00917616" w:rsidRPr="00786508" w:rsidRDefault="00917616" w:rsidP="00786508">
            <w:pPr>
              <w:spacing w:line="276" w:lineRule="auto"/>
              <w:rPr>
                <w:sz w:val="20"/>
              </w:rPr>
            </w:pPr>
            <w:r w:rsidRPr="00786508">
              <w:rPr>
                <w:sz w:val="20"/>
              </w:rPr>
              <w:t>Budžet JLS</w:t>
            </w:r>
          </w:p>
          <w:p w:rsidR="00917616" w:rsidRPr="00786508" w:rsidRDefault="00917616" w:rsidP="00786508">
            <w:pPr>
              <w:spacing w:line="276" w:lineRule="auto"/>
              <w:rPr>
                <w:sz w:val="20"/>
              </w:rPr>
            </w:pPr>
            <w:r w:rsidRPr="00786508">
              <w:rPr>
                <w:sz w:val="20"/>
              </w:rPr>
              <w:t>Budžetski fond za energetsku efikasnost</w:t>
            </w:r>
          </w:p>
          <w:p w:rsidR="00917616" w:rsidRPr="00786508" w:rsidRDefault="00917616" w:rsidP="00786508">
            <w:pPr>
              <w:spacing w:line="276" w:lineRule="auto"/>
              <w:rPr>
                <w:sz w:val="20"/>
              </w:rPr>
            </w:pPr>
            <w:r w:rsidRPr="00786508">
              <w:rPr>
                <w:sz w:val="20"/>
              </w:rPr>
              <w:t>Donatori</w:t>
            </w:r>
          </w:p>
          <w:p w:rsidR="00917616" w:rsidRPr="00786508" w:rsidRDefault="00917616" w:rsidP="00786508">
            <w:pPr>
              <w:spacing w:line="276" w:lineRule="auto"/>
              <w:rPr>
                <w:sz w:val="20"/>
              </w:rPr>
            </w:pPr>
            <w:r w:rsidRPr="00786508">
              <w:rPr>
                <w:sz w:val="20"/>
              </w:rPr>
              <w:t>KUJU</w:t>
            </w:r>
          </w:p>
        </w:tc>
      </w:tr>
      <w:tr w:rsidR="00917616" w:rsidRPr="00BE4401" w:rsidTr="00786508">
        <w:tc>
          <w:tcPr>
            <w:tcW w:w="1754" w:type="dxa"/>
            <w:shd w:val="clear" w:color="auto" w:fill="148DCD"/>
          </w:tcPr>
          <w:p w:rsidR="00917616" w:rsidRPr="00BE4401" w:rsidRDefault="00917616" w:rsidP="00786508">
            <w:pPr>
              <w:spacing w:line="276" w:lineRule="auto"/>
              <w:jc w:val="left"/>
              <w:rPr>
                <w:b/>
                <w:color w:val="FFFFFF"/>
                <w:sz w:val="20"/>
                <w:lang w:val="it-IT"/>
              </w:rPr>
            </w:pPr>
            <w:r w:rsidRPr="00BE4401">
              <w:rPr>
                <w:b/>
                <w:color w:val="FFFFFF"/>
                <w:sz w:val="20"/>
                <w:lang w:val="it-IT"/>
              </w:rPr>
              <w:t>Primeri aktivnosti  za postizanje cilja</w:t>
            </w:r>
          </w:p>
        </w:tc>
        <w:tc>
          <w:tcPr>
            <w:tcW w:w="7308" w:type="dxa"/>
            <w:shd w:val="clear" w:color="auto" w:fill="E9F1F9"/>
          </w:tcPr>
          <w:p w:rsidR="00917616" w:rsidRPr="00BE4401" w:rsidRDefault="00917616" w:rsidP="00786508">
            <w:pPr>
              <w:spacing w:line="276" w:lineRule="auto"/>
              <w:rPr>
                <w:sz w:val="20"/>
                <w:lang w:val="it-IT"/>
              </w:rPr>
            </w:pPr>
            <w:r w:rsidRPr="00BE4401">
              <w:rPr>
                <w:sz w:val="20"/>
                <w:lang w:val="it-IT"/>
              </w:rPr>
              <w:t>Nabavka savremenih kotlova na biomasu u izabranim javnim objektima koristeći pozitivna iskustva sličnih objekata iz susednih i drugih opština u kojima je izvršena konverzija mazuta i uglja sa biomasom.</w:t>
            </w:r>
          </w:p>
        </w:tc>
      </w:tr>
      <w:tr w:rsidR="00917616" w:rsidRPr="00786508"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 xml:space="preserve">Indikator </w:t>
            </w:r>
          </w:p>
        </w:tc>
        <w:tc>
          <w:tcPr>
            <w:tcW w:w="7308" w:type="dxa"/>
            <w:shd w:val="clear" w:color="auto" w:fill="CBE9FA"/>
          </w:tcPr>
          <w:p w:rsidR="00917616" w:rsidRPr="00786508" w:rsidRDefault="00917616" w:rsidP="00786508">
            <w:pPr>
              <w:spacing w:line="276" w:lineRule="auto"/>
              <w:rPr>
                <w:i/>
                <w:sz w:val="20"/>
              </w:rPr>
            </w:pPr>
            <w:r w:rsidRPr="00786508">
              <w:rPr>
                <w:i/>
                <w:sz w:val="20"/>
              </w:rPr>
              <w:t xml:space="preserve">Nakon sprovođenja mere cilj je da se 2021. godine za potrebe grejanja izabranih objekata koristi biomasa u formi drvne sečke kao najjeftinije gorivo. </w:t>
            </w:r>
          </w:p>
        </w:tc>
      </w:tr>
      <w:tr w:rsidR="00917616" w:rsidRPr="00BE4401" w:rsidTr="00786508">
        <w:tc>
          <w:tcPr>
            <w:tcW w:w="1754" w:type="dxa"/>
            <w:shd w:val="clear" w:color="auto" w:fill="148DCD"/>
          </w:tcPr>
          <w:p w:rsidR="00917616" w:rsidRPr="00786508" w:rsidRDefault="00917616" w:rsidP="00786508">
            <w:pPr>
              <w:spacing w:line="276" w:lineRule="auto"/>
              <w:rPr>
                <w:b/>
                <w:color w:val="FFFFFF"/>
                <w:sz w:val="20"/>
              </w:rPr>
            </w:pPr>
            <w:r w:rsidRPr="00786508">
              <w:rPr>
                <w:b/>
                <w:color w:val="FFFFFF"/>
                <w:sz w:val="20"/>
              </w:rPr>
              <w:t>Način verifikacije</w:t>
            </w:r>
          </w:p>
        </w:tc>
        <w:tc>
          <w:tcPr>
            <w:tcW w:w="7308" w:type="dxa"/>
            <w:shd w:val="clear" w:color="auto" w:fill="E9F1F9"/>
          </w:tcPr>
          <w:p w:rsidR="00917616" w:rsidRPr="00BE4401" w:rsidRDefault="00917616" w:rsidP="00786508">
            <w:pPr>
              <w:spacing w:line="276" w:lineRule="auto"/>
              <w:rPr>
                <w:i/>
                <w:sz w:val="20"/>
                <w:lang w:val="pl-PL"/>
              </w:rPr>
            </w:pPr>
            <w:r w:rsidRPr="00BE4401">
              <w:rPr>
                <w:i/>
                <w:sz w:val="20"/>
                <w:lang w:val="pl-PL"/>
              </w:rPr>
              <w:t>ISEM / Godišnji izveštaj u skladu sa ZEKE</w:t>
            </w:r>
          </w:p>
        </w:tc>
      </w:tr>
    </w:tbl>
    <w:p w:rsidR="00917616" w:rsidRPr="00BE4401" w:rsidRDefault="00917616" w:rsidP="00E7415E">
      <w:pPr>
        <w:spacing w:line="276" w:lineRule="auto"/>
        <w:rPr>
          <w:lang w:val="pl-P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Look w:val="00A0"/>
      </w:tblPr>
      <w:tblGrid>
        <w:gridCol w:w="1740"/>
        <w:gridCol w:w="7322"/>
      </w:tblGrid>
      <w:tr w:rsidR="00917616" w:rsidRPr="00786508" w:rsidTr="00786508">
        <w:trPr>
          <w:tblHeader/>
        </w:trPr>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MERA 2</w:t>
            </w:r>
          </w:p>
        </w:tc>
        <w:tc>
          <w:tcPr>
            <w:tcW w:w="7322" w:type="dxa"/>
            <w:shd w:val="clear" w:color="auto" w:fill="148DCD"/>
          </w:tcPr>
          <w:p w:rsidR="00917616" w:rsidRPr="00786508" w:rsidRDefault="00917616" w:rsidP="00786508">
            <w:pPr>
              <w:spacing w:line="276" w:lineRule="auto"/>
              <w:rPr>
                <w:b/>
                <w:color w:val="FFFFFF"/>
                <w:sz w:val="20"/>
              </w:rPr>
            </w:pPr>
            <w:r w:rsidRPr="00786508">
              <w:rPr>
                <w:b/>
                <w:color w:val="FFFFFF"/>
                <w:sz w:val="20"/>
              </w:rPr>
              <w:t>Podrška zameni mazuta sa drvnom biomasom u gradskoj toplani kroz izradu odgovarajuće projektno-tehničke dokumentacije</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 xml:space="preserve">Cilj </w:t>
            </w:r>
          </w:p>
        </w:tc>
        <w:tc>
          <w:tcPr>
            <w:tcW w:w="7322" w:type="dxa"/>
            <w:shd w:val="clear" w:color="auto" w:fill="CBE9FA"/>
          </w:tcPr>
          <w:p w:rsidR="00917616" w:rsidRPr="00786508" w:rsidRDefault="00917616" w:rsidP="00786508">
            <w:pPr>
              <w:spacing w:line="276" w:lineRule="auto"/>
              <w:rPr>
                <w:sz w:val="20"/>
              </w:rPr>
            </w:pPr>
            <w:r w:rsidRPr="00786508">
              <w:rPr>
                <w:sz w:val="20"/>
              </w:rPr>
              <w:t xml:space="preserve">Potpuna zamena mazuta u gradskoj toplani sa definisanim lancem snabdevanja. </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Nosilac</w:t>
            </w:r>
          </w:p>
        </w:tc>
        <w:tc>
          <w:tcPr>
            <w:tcW w:w="7322" w:type="dxa"/>
            <w:shd w:val="clear" w:color="auto" w:fill="E9F1F9"/>
          </w:tcPr>
          <w:p w:rsidR="00917616" w:rsidRPr="00786508" w:rsidRDefault="00917616" w:rsidP="00786508">
            <w:pPr>
              <w:spacing w:line="276" w:lineRule="auto"/>
              <w:rPr>
                <w:sz w:val="20"/>
              </w:rPr>
            </w:pPr>
            <w:r w:rsidRPr="00786508">
              <w:rPr>
                <w:sz w:val="20"/>
              </w:rPr>
              <w:t>JLS</w:t>
            </w:r>
          </w:p>
        </w:tc>
      </w:tr>
      <w:tr w:rsidR="00917616" w:rsidRPr="00BE4401"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Opis</w:t>
            </w:r>
          </w:p>
        </w:tc>
        <w:tc>
          <w:tcPr>
            <w:tcW w:w="7322" w:type="dxa"/>
            <w:shd w:val="clear" w:color="auto" w:fill="CBE9FA"/>
          </w:tcPr>
          <w:p w:rsidR="00917616" w:rsidRPr="00BE4401" w:rsidRDefault="00917616" w:rsidP="00786508">
            <w:pPr>
              <w:spacing w:line="276" w:lineRule="auto"/>
              <w:rPr>
                <w:sz w:val="20"/>
                <w:lang w:val="pl-PL"/>
              </w:rPr>
            </w:pPr>
            <w:r w:rsidRPr="00BE4401">
              <w:rPr>
                <w:sz w:val="20"/>
                <w:lang w:val="pl-PL"/>
              </w:rPr>
              <w:t>Postojeća gradska toplana koristi mazut. U grejnoj sezoni 2017/2018. godina utrošeno je 450 tona mazuta. Mazut se nabavlja po veoma visokim cenama, a njegovim sagorevanjem nastaju velike količine zagađujućih materija i CO</w:t>
            </w:r>
            <w:r w:rsidRPr="00BE4401">
              <w:rPr>
                <w:sz w:val="20"/>
                <w:vertAlign w:val="subscript"/>
                <w:lang w:val="pl-PL"/>
              </w:rPr>
              <w:t>2</w:t>
            </w:r>
            <w:r w:rsidRPr="00BE4401">
              <w:rPr>
                <w:sz w:val="20"/>
                <w:lang w:val="pl-PL"/>
              </w:rPr>
              <w:t>. Zamenom mazuta i prelaskom na drvnu biomasu postigli bi se višestruki efekti kako za lokalnu samoupravu tako i za krajnje potrošače. Neki od efekata predstavljaju: povećanje prihoda za lokalnu samoupravu, otvaranje novih radnih mesta kroz formiranje pratećeg lanca snabdevanja biomasom, efikasnije korišćenje biomase u odnosu na individualne sisteme grejanja, jeftinije grejanje za krajnje korisnike i priključenje onih javnih objekata koji sada koriste fosilna i druga goriva u okviru toplifikacije administrativno-poslovnog centra.</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Period implementacije</w:t>
            </w:r>
          </w:p>
        </w:tc>
        <w:tc>
          <w:tcPr>
            <w:tcW w:w="7322" w:type="dxa"/>
            <w:shd w:val="clear" w:color="auto" w:fill="E9F1F9"/>
            <w:vAlign w:val="center"/>
          </w:tcPr>
          <w:p w:rsidR="00917616" w:rsidRPr="00786508" w:rsidRDefault="00917616" w:rsidP="00786508">
            <w:pPr>
              <w:spacing w:line="276" w:lineRule="auto"/>
              <w:jc w:val="left"/>
              <w:rPr>
                <w:sz w:val="20"/>
              </w:rPr>
            </w:pPr>
            <w:r w:rsidRPr="00786508">
              <w:rPr>
                <w:sz w:val="20"/>
              </w:rPr>
              <w:t>202</w:t>
            </w:r>
            <w:r>
              <w:rPr>
                <w:sz w:val="20"/>
              </w:rPr>
              <w:t>1</w:t>
            </w:r>
            <w:r w:rsidRPr="00786508">
              <w:rPr>
                <w:sz w:val="20"/>
              </w:rPr>
              <w:t>-202</w:t>
            </w:r>
            <w:r>
              <w:rPr>
                <w:sz w:val="20"/>
              </w:rPr>
              <w:t>4</w:t>
            </w:r>
            <w:r w:rsidRPr="00786508">
              <w:rPr>
                <w:sz w:val="20"/>
              </w:rPr>
              <w:t>.</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 xml:space="preserve">Izvori finansiranja </w:t>
            </w:r>
          </w:p>
        </w:tc>
        <w:tc>
          <w:tcPr>
            <w:tcW w:w="7322" w:type="dxa"/>
            <w:shd w:val="clear" w:color="auto" w:fill="CBE9FA"/>
          </w:tcPr>
          <w:p w:rsidR="00917616" w:rsidRPr="00786508" w:rsidRDefault="00917616" w:rsidP="00786508">
            <w:pPr>
              <w:spacing w:line="276" w:lineRule="auto"/>
              <w:rPr>
                <w:sz w:val="20"/>
              </w:rPr>
            </w:pPr>
            <w:r w:rsidRPr="00786508">
              <w:rPr>
                <w:sz w:val="20"/>
              </w:rPr>
              <w:t xml:space="preserve">Budžet opštine, </w:t>
            </w:r>
          </w:p>
          <w:p w:rsidR="00917616" w:rsidRPr="00786508" w:rsidRDefault="00917616" w:rsidP="00786508">
            <w:pPr>
              <w:spacing w:line="276" w:lineRule="auto"/>
              <w:rPr>
                <w:sz w:val="20"/>
              </w:rPr>
            </w:pPr>
            <w:r w:rsidRPr="00786508">
              <w:rPr>
                <w:sz w:val="20"/>
              </w:rPr>
              <w:t>Fond za energetsku efikasnost</w:t>
            </w:r>
          </w:p>
          <w:p w:rsidR="00917616" w:rsidRPr="00786508" w:rsidRDefault="00917616" w:rsidP="00786508">
            <w:pPr>
              <w:spacing w:line="276" w:lineRule="auto"/>
              <w:rPr>
                <w:sz w:val="20"/>
              </w:rPr>
            </w:pPr>
            <w:r w:rsidRPr="00786508">
              <w:rPr>
                <w:sz w:val="20"/>
              </w:rPr>
              <w:t>Kancelarija za upravljanje javnim ulaganjima (KUJU)</w:t>
            </w:r>
          </w:p>
          <w:p w:rsidR="00917616" w:rsidRPr="00786508" w:rsidRDefault="00917616" w:rsidP="00786508">
            <w:pPr>
              <w:spacing w:line="276" w:lineRule="auto"/>
              <w:rPr>
                <w:sz w:val="20"/>
              </w:rPr>
            </w:pPr>
            <w:r w:rsidRPr="00786508">
              <w:rPr>
                <w:sz w:val="20"/>
              </w:rPr>
              <w:t xml:space="preserve">Donatorski programi </w:t>
            </w:r>
          </w:p>
        </w:tc>
      </w:tr>
      <w:tr w:rsidR="00917616" w:rsidRPr="00BE4401" w:rsidTr="00786508">
        <w:tc>
          <w:tcPr>
            <w:tcW w:w="1740" w:type="dxa"/>
            <w:shd w:val="clear" w:color="auto" w:fill="148DCD"/>
          </w:tcPr>
          <w:p w:rsidR="00917616" w:rsidRPr="00BE4401" w:rsidRDefault="00917616" w:rsidP="00786508">
            <w:pPr>
              <w:spacing w:line="276" w:lineRule="auto"/>
              <w:jc w:val="left"/>
              <w:rPr>
                <w:b/>
                <w:color w:val="FFFFFF"/>
                <w:sz w:val="20"/>
                <w:lang w:val="it-IT"/>
              </w:rPr>
            </w:pPr>
            <w:r w:rsidRPr="00BE4401">
              <w:rPr>
                <w:b/>
                <w:color w:val="FFFFFF"/>
                <w:sz w:val="20"/>
                <w:lang w:val="it-IT"/>
              </w:rPr>
              <w:t>Primeri aktivnosti  za postizanje cilja</w:t>
            </w:r>
          </w:p>
        </w:tc>
        <w:tc>
          <w:tcPr>
            <w:tcW w:w="7322" w:type="dxa"/>
            <w:shd w:val="clear" w:color="auto" w:fill="E9F1F9"/>
          </w:tcPr>
          <w:p w:rsidR="00917616" w:rsidRPr="00786508" w:rsidRDefault="00917616" w:rsidP="00BE4401">
            <w:pPr>
              <w:pStyle w:val="ListParagraph"/>
              <w:numPr>
                <w:ilvl w:val="0"/>
                <w:numId w:val="17"/>
              </w:numPr>
              <w:spacing w:line="276" w:lineRule="auto"/>
              <w:ind w:left="227" w:hanging="227"/>
              <w:contextualSpacing w:val="0"/>
              <w:rPr>
                <w:sz w:val="20"/>
              </w:rPr>
            </w:pPr>
            <w:r w:rsidRPr="00786508">
              <w:rPr>
                <w:sz w:val="20"/>
              </w:rPr>
              <w:t>Definisanje lanca snabdevanja biomasom</w:t>
            </w:r>
          </w:p>
          <w:p w:rsidR="00917616" w:rsidRPr="00BE4401" w:rsidRDefault="00917616" w:rsidP="00BE4401">
            <w:pPr>
              <w:pStyle w:val="ListParagraph"/>
              <w:numPr>
                <w:ilvl w:val="0"/>
                <w:numId w:val="17"/>
              </w:numPr>
              <w:spacing w:line="276" w:lineRule="auto"/>
              <w:ind w:left="227" w:hanging="227"/>
              <w:contextualSpacing w:val="0"/>
              <w:rPr>
                <w:sz w:val="20"/>
                <w:lang w:val="pl-PL"/>
              </w:rPr>
            </w:pPr>
            <w:r w:rsidRPr="00BE4401">
              <w:rPr>
                <w:sz w:val="20"/>
                <w:lang w:val="pl-PL"/>
              </w:rPr>
              <w:t xml:space="preserve">Određivanje lokacije za skladište drvne biomase </w:t>
            </w:r>
          </w:p>
          <w:p w:rsidR="00917616" w:rsidRPr="00786508" w:rsidRDefault="00917616" w:rsidP="00BE4401">
            <w:pPr>
              <w:pStyle w:val="ListParagraph"/>
              <w:numPr>
                <w:ilvl w:val="0"/>
                <w:numId w:val="17"/>
              </w:numPr>
              <w:spacing w:line="276" w:lineRule="auto"/>
              <w:ind w:left="227" w:hanging="227"/>
              <w:contextualSpacing w:val="0"/>
              <w:rPr>
                <w:sz w:val="20"/>
              </w:rPr>
            </w:pPr>
            <w:r w:rsidRPr="00786508">
              <w:rPr>
                <w:sz w:val="20"/>
              </w:rPr>
              <w:t>Izrada potrebne projektne dokumentacije</w:t>
            </w:r>
          </w:p>
          <w:p w:rsidR="00917616" w:rsidRPr="00786508" w:rsidRDefault="00917616" w:rsidP="00BE4401">
            <w:pPr>
              <w:pStyle w:val="ListParagraph"/>
              <w:numPr>
                <w:ilvl w:val="0"/>
                <w:numId w:val="17"/>
              </w:numPr>
              <w:spacing w:line="276" w:lineRule="auto"/>
              <w:ind w:left="227" w:hanging="227"/>
              <w:contextualSpacing w:val="0"/>
              <w:rPr>
                <w:sz w:val="20"/>
              </w:rPr>
            </w:pPr>
            <w:r w:rsidRPr="00786508">
              <w:rPr>
                <w:sz w:val="20"/>
              </w:rPr>
              <w:t>Dobijanje saglasnosti, dozvola i odobrenja</w:t>
            </w:r>
          </w:p>
          <w:p w:rsidR="00917616" w:rsidRPr="00BE4401" w:rsidRDefault="00917616" w:rsidP="00BE4401">
            <w:pPr>
              <w:pStyle w:val="ListParagraph"/>
              <w:numPr>
                <w:ilvl w:val="0"/>
                <w:numId w:val="17"/>
              </w:numPr>
              <w:spacing w:line="276" w:lineRule="auto"/>
              <w:ind w:left="227" w:hanging="227"/>
              <w:contextualSpacing w:val="0"/>
              <w:rPr>
                <w:sz w:val="20"/>
                <w:lang w:val="pl-PL"/>
              </w:rPr>
            </w:pPr>
            <w:r w:rsidRPr="00BE4401">
              <w:rPr>
                <w:sz w:val="20"/>
                <w:lang w:val="pl-PL"/>
              </w:rPr>
              <w:t>Formiranje nadzornog tela za praćenje realizacije projekta</w:t>
            </w:r>
          </w:p>
          <w:p w:rsidR="00917616" w:rsidRPr="00BE4401" w:rsidRDefault="00917616" w:rsidP="00BE4401">
            <w:pPr>
              <w:pStyle w:val="ListParagraph"/>
              <w:numPr>
                <w:ilvl w:val="0"/>
                <w:numId w:val="17"/>
              </w:numPr>
              <w:spacing w:line="276" w:lineRule="auto"/>
              <w:ind w:left="227" w:hanging="227"/>
              <w:contextualSpacing w:val="0"/>
              <w:rPr>
                <w:sz w:val="20"/>
                <w:lang w:val="pl-PL"/>
              </w:rPr>
            </w:pPr>
            <w:r w:rsidRPr="00BE4401">
              <w:rPr>
                <w:sz w:val="20"/>
                <w:lang w:val="pl-PL"/>
              </w:rPr>
              <w:t>Ostale aktivnosti od značaja za realizaciju projekta</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 xml:space="preserve">Indikator </w:t>
            </w:r>
          </w:p>
        </w:tc>
        <w:tc>
          <w:tcPr>
            <w:tcW w:w="7322" w:type="dxa"/>
            <w:shd w:val="clear" w:color="auto" w:fill="CBE9FA"/>
          </w:tcPr>
          <w:p w:rsidR="00917616" w:rsidRPr="00786508" w:rsidRDefault="00917616" w:rsidP="00786508">
            <w:pPr>
              <w:spacing w:line="276" w:lineRule="auto"/>
              <w:rPr>
                <w:i/>
                <w:sz w:val="20"/>
              </w:rPr>
            </w:pPr>
            <w:r w:rsidRPr="00BE4401">
              <w:rPr>
                <w:i/>
                <w:sz w:val="20"/>
                <w:lang w:val="pl-PL"/>
              </w:rPr>
              <w:t xml:space="preserve">Izrađena projektno-tehnička dokumentacija za zamenu mazuta sa drvnom biomasom u postojećoj gradskoj toplani. </w:t>
            </w:r>
            <w:r w:rsidRPr="00786508">
              <w:rPr>
                <w:i/>
                <w:sz w:val="20"/>
              </w:rPr>
              <w:t xml:space="preserve">Definisan lanac snabdevanja biomasom. </w:t>
            </w:r>
          </w:p>
        </w:tc>
      </w:tr>
      <w:tr w:rsidR="00917616" w:rsidRPr="00BE4401"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Način verifikacije</w:t>
            </w:r>
          </w:p>
        </w:tc>
        <w:tc>
          <w:tcPr>
            <w:tcW w:w="7322" w:type="dxa"/>
            <w:shd w:val="clear" w:color="auto" w:fill="E9F1F9"/>
          </w:tcPr>
          <w:p w:rsidR="00917616" w:rsidRPr="00BE4401" w:rsidRDefault="00917616" w:rsidP="00786508">
            <w:pPr>
              <w:spacing w:line="276" w:lineRule="auto"/>
              <w:rPr>
                <w:i/>
                <w:sz w:val="20"/>
                <w:lang w:val="pl-PL"/>
              </w:rPr>
            </w:pPr>
            <w:r w:rsidRPr="00BE4401">
              <w:rPr>
                <w:i/>
                <w:sz w:val="20"/>
                <w:lang w:val="pl-PL"/>
              </w:rPr>
              <w:t xml:space="preserve">Informacija objavljena na veb-sajtu opštine. </w:t>
            </w:r>
          </w:p>
        </w:tc>
      </w:tr>
    </w:tbl>
    <w:p w:rsidR="00917616" w:rsidRPr="00BE4401" w:rsidRDefault="00917616" w:rsidP="00E7415E">
      <w:pPr>
        <w:spacing w:line="276" w:lineRule="auto"/>
        <w:rPr>
          <w:lang w:val="pl-PL"/>
        </w:rPr>
      </w:pPr>
    </w:p>
    <w:p w:rsidR="00917616" w:rsidRPr="00BE4401" w:rsidRDefault="00917616" w:rsidP="00E7415E">
      <w:pPr>
        <w:spacing w:line="276" w:lineRule="auto"/>
        <w:rPr>
          <w:lang w:val="pl-P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Look w:val="00A0"/>
      </w:tblPr>
      <w:tblGrid>
        <w:gridCol w:w="1740"/>
        <w:gridCol w:w="7322"/>
      </w:tblGrid>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MERA 3</w:t>
            </w:r>
          </w:p>
        </w:tc>
        <w:tc>
          <w:tcPr>
            <w:tcW w:w="7322" w:type="dxa"/>
            <w:shd w:val="clear" w:color="auto" w:fill="148DCD"/>
          </w:tcPr>
          <w:p w:rsidR="00917616" w:rsidRPr="00786508" w:rsidRDefault="00917616" w:rsidP="00786508">
            <w:pPr>
              <w:spacing w:line="276" w:lineRule="auto"/>
              <w:rPr>
                <w:b/>
                <w:color w:val="FFFFFF"/>
                <w:sz w:val="20"/>
              </w:rPr>
            </w:pPr>
            <w:r w:rsidRPr="00786508">
              <w:rPr>
                <w:b/>
                <w:color w:val="FFFFFF"/>
                <w:sz w:val="20"/>
              </w:rPr>
              <w:t>Edukativna kampanja o pravilnom i efikasnom korišćenju ogrevnog drveta u domaćinstvima</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Cilj:</w:t>
            </w:r>
          </w:p>
        </w:tc>
        <w:tc>
          <w:tcPr>
            <w:tcW w:w="7322" w:type="dxa"/>
            <w:shd w:val="clear" w:color="auto" w:fill="CBE9FA"/>
          </w:tcPr>
          <w:p w:rsidR="00917616" w:rsidRPr="00786508" w:rsidRDefault="00917616" w:rsidP="00786508">
            <w:pPr>
              <w:spacing w:line="276" w:lineRule="auto"/>
              <w:rPr>
                <w:sz w:val="20"/>
              </w:rPr>
            </w:pPr>
            <w:r w:rsidRPr="00786508">
              <w:rPr>
                <w:sz w:val="20"/>
              </w:rPr>
              <w:t>Povećati broj domaćinstava koja pravilno i efikasno koriste ogrevno drvo za potrebe grejanja.</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Nosilac</w:t>
            </w:r>
          </w:p>
        </w:tc>
        <w:tc>
          <w:tcPr>
            <w:tcW w:w="7322" w:type="dxa"/>
            <w:shd w:val="clear" w:color="auto" w:fill="E9F1F9"/>
          </w:tcPr>
          <w:p w:rsidR="00917616" w:rsidRPr="00786508" w:rsidRDefault="00917616" w:rsidP="00786508">
            <w:pPr>
              <w:spacing w:line="276" w:lineRule="auto"/>
              <w:rPr>
                <w:sz w:val="20"/>
              </w:rPr>
            </w:pPr>
            <w:r w:rsidRPr="00786508">
              <w:rPr>
                <w:sz w:val="20"/>
              </w:rPr>
              <w:t>JLS</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Opis</w:t>
            </w:r>
          </w:p>
        </w:tc>
        <w:tc>
          <w:tcPr>
            <w:tcW w:w="7322" w:type="dxa"/>
            <w:shd w:val="clear" w:color="auto" w:fill="CBE9FA"/>
          </w:tcPr>
          <w:p w:rsidR="00917616" w:rsidRPr="00786508" w:rsidRDefault="00917616" w:rsidP="00786508">
            <w:pPr>
              <w:spacing w:line="276" w:lineRule="auto"/>
              <w:rPr>
                <w:sz w:val="20"/>
              </w:rPr>
            </w:pPr>
            <w:r w:rsidRPr="00786508">
              <w:rPr>
                <w:sz w:val="20"/>
              </w:rPr>
              <w:t>Prosečna potrošnja drvne energije u domaćinstvima u opštini Petrovac na Mlavi je za skoro 2,6 puta veća u odnosu na prosečnu potrošnju koja se smatra zadovoljavajućom sa stanovišta energetske efikasnosti. Ovako visoka potrošnja u velikoj meri je rezultat ustaljene navike domaćinstava da ogrevno drvo nabavljaju jedan do dva meseca pre početkja grejne sezone zbog čega se u toku grejne sezone u najvećem broju domaćinstava koristi sirovo drvo. Takvo drvo daje male količine energije, povećava zagađenost vazduha, povećava potrošnju i šteti uređajima u kojima sagoreva. Pored toga, u najvećem broju domaćinstava u opštini Petrovac na Mlavi uređaji koji se koriste za loženje su starosti preko 10 godina. Ovako stari uređaji u kombinaciji sa sirovim drvetom čine potrošnju ogrevnog drveta izuzetno neefikasnom.</w:t>
            </w:r>
          </w:p>
          <w:p w:rsidR="00917616" w:rsidRPr="00786508" w:rsidRDefault="00917616" w:rsidP="00786508">
            <w:pPr>
              <w:spacing w:line="276" w:lineRule="auto"/>
              <w:rPr>
                <w:sz w:val="20"/>
              </w:rPr>
            </w:pPr>
          </w:p>
          <w:p w:rsidR="00917616" w:rsidRPr="00786508" w:rsidRDefault="00917616" w:rsidP="00786508">
            <w:pPr>
              <w:spacing w:line="276" w:lineRule="auto"/>
              <w:rPr>
                <w:sz w:val="20"/>
              </w:rPr>
            </w:pPr>
            <w:r w:rsidRPr="00786508">
              <w:rPr>
                <w:sz w:val="20"/>
              </w:rPr>
              <w:t>Da bi se promenilo ovakvo stanje neophodno je osmisliti i sprovoditi Program edukativne kampanje domaćinstava kako pravilno i efikasno da nabavljaju i koriste ogrevno drvo (vreme i način pripreme drveta, pravilna upotreba, korišćenje efikasne opreme, čišćenje dimnjaka).</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Period implementacije</w:t>
            </w:r>
          </w:p>
        </w:tc>
        <w:tc>
          <w:tcPr>
            <w:tcW w:w="7322" w:type="dxa"/>
            <w:shd w:val="clear" w:color="auto" w:fill="E9F1F9"/>
            <w:vAlign w:val="center"/>
          </w:tcPr>
          <w:p w:rsidR="00917616" w:rsidRPr="00786508" w:rsidRDefault="00917616" w:rsidP="00786508">
            <w:pPr>
              <w:spacing w:line="276" w:lineRule="auto"/>
              <w:jc w:val="left"/>
              <w:rPr>
                <w:sz w:val="20"/>
              </w:rPr>
            </w:pPr>
            <w:r w:rsidRPr="00786508">
              <w:rPr>
                <w:sz w:val="20"/>
              </w:rPr>
              <w:t>20</w:t>
            </w:r>
            <w:r>
              <w:rPr>
                <w:sz w:val="20"/>
              </w:rPr>
              <w:t>21</w:t>
            </w:r>
            <w:r w:rsidRPr="00786508">
              <w:rPr>
                <w:sz w:val="20"/>
              </w:rPr>
              <w:t>-202</w:t>
            </w:r>
            <w:r>
              <w:rPr>
                <w:sz w:val="20"/>
              </w:rPr>
              <w:t>4</w:t>
            </w:r>
            <w:r w:rsidRPr="00786508">
              <w:rPr>
                <w:sz w:val="20"/>
              </w:rPr>
              <w:t>.</w:t>
            </w:r>
          </w:p>
        </w:tc>
      </w:tr>
      <w:tr w:rsidR="00917616" w:rsidRPr="00BE4401"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Izvori finansiranja</w:t>
            </w:r>
          </w:p>
        </w:tc>
        <w:tc>
          <w:tcPr>
            <w:tcW w:w="7322" w:type="dxa"/>
            <w:shd w:val="clear" w:color="auto" w:fill="CBE9FA"/>
          </w:tcPr>
          <w:p w:rsidR="00917616" w:rsidRPr="00BE4401" w:rsidRDefault="00917616" w:rsidP="00786508">
            <w:pPr>
              <w:spacing w:line="276" w:lineRule="auto"/>
              <w:rPr>
                <w:sz w:val="20"/>
                <w:lang w:val="pl-PL"/>
              </w:rPr>
            </w:pPr>
            <w:r w:rsidRPr="00BE4401">
              <w:rPr>
                <w:sz w:val="20"/>
                <w:lang w:val="pl-PL"/>
              </w:rPr>
              <w:t xml:space="preserve">JLS i programi međunarodnih organizacija  </w:t>
            </w:r>
          </w:p>
          <w:p w:rsidR="00917616" w:rsidRPr="00BE4401" w:rsidRDefault="00917616" w:rsidP="00786508">
            <w:pPr>
              <w:spacing w:line="276" w:lineRule="auto"/>
              <w:rPr>
                <w:sz w:val="20"/>
                <w:lang w:val="pl-PL"/>
              </w:rPr>
            </w:pPr>
            <w:r w:rsidRPr="00BE4401">
              <w:rPr>
                <w:sz w:val="20"/>
                <w:lang w:val="pl-PL"/>
              </w:rPr>
              <w:t>Fond za zaštitu životne sredine</w:t>
            </w:r>
          </w:p>
        </w:tc>
      </w:tr>
      <w:tr w:rsidR="00917616" w:rsidRPr="00786508" w:rsidTr="00786508">
        <w:tc>
          <w:tcPr>
            <w:tcW w:w="1740" w:type="dxa"/>
            <w:shd w:val="clear" w:color="auto" w:fill="148DCD"/>
          </w:tcPr>
          <w:p w:rsidR="00917616" w:rsidRPr="00BE4401" w:rsidRDefault="00917616" w:rsidP="00786508">
            <w:pPr>
              <w:spacing w:line="276" w:lineRule="auto"/>
              <w:jc w:val="left"/>
              <w:rPr>
                <w:b/>
                <w:color w:val="FFFFFF"/>
                <w:sz w:val="20"/>
                <w:lang w:val="it-IT"/>
              </w:rPr>
            </w:pPr>
            <w:r w:rsidRPr="00BE4401">
              <w:rPr>
                <w:b/>
                <w:color w:val="FFFFFF"/>
                <w:sz w:val="20"/>
                <w:lang w:val="it-IT"/>
              </w:rPr>
              <w:t>Primeri aktivnosti  za postizanje cilja</w:t>
            </w:r>
          </w:p>
        </w:tc>
        <w:tc>
          <w:tcPr>
            <w:tcW w:w="7322" w:type="dxa"/>
            <w:shd w:val="clear" w:color="auto" w:fill="E9F1F9"/>
          </w:tcPr>
          <w:p w:rsidR="00917616" w:rsidRPr="00BE4401" w:rsidRDefault="00917616" w:rsidP="00786508">
            <w:pPr>
              <w:pStyle w:val="ListParagraph"/>
              <w:numPr>
                <w:ilvl w:val="0"/>
                <w:numId w:val="17"/>
              </w:numPr>
              <w:tabs>
                <w:tab w:val="left" w:pos="1928"/>
                <w:tab w:val="left" w:pos="2211"/>
              </w:tabs>
              <w:spacing w:line="276" w:lineRule="auto"/>
              <w:contextualSpacing w:val="0"/>
              <w:rPr>
                <w:sz w:val="20"/>
                <w:lang w:val="it-IT"/>
              </w:rPr>
            </w:pPr>
            <w:r w:rsidRPr="00BE4401">
              <w:rPr>
                <w:sz w:val="20"/>
                <w:lang w:val="it-IT"/>
              </w:rPr>
              <w:t>Definisanje Programa za povećanje efikasnosti korišćenja ogrevnog drveta u domaćinstvima u opštini Petrovac na Mlavi</w:t>
            </w:r>
          </w:p>
          <w:p w:rsidR="00917616" w:rsidRPr="00786508" w:rsidRDefault="00917616" w:rsidP="00786508">
            <w:pPr>
              <w:pStyle w:val="ListParagraph"/>
              <w:numPr>
                <w:ilvl w:val="0"/>
                <w:numId w:val="17"/>
              </w:numPr>
              <w:tabs>
                <w:tab w:val="left" w:pos="1928"/>
                <w:tab w:val="left" w:pos="2211"/>
              </w:tabs>
              <w:spacing w:line="276" w:lineRule="auto"/>
              <w:contextualSpacing w:val="0"/>
              <w:rPr>
                <w:sz w:val="20"/>
              </w:rPr>
            </w:pPr>
            <w:r w:rsidRPr="00786508">
              <w:rPr>
                <w:sz w:val="20"/>
              </w:rPr>
              <w:t>Edukativna kampanja</w:t>
            </w:r>
          </w:p>
          <w:p w:rsidR="00917616" w:rsidRPr="00786508" w:rsidRDefault="00917616" w:rsidP="00786508">
            <w:pPr>
              <w:pStyle w:val="ListParagraph"/>
              <w:numPr>
                <w:ilvl w:val="0"/>
                <w:numId w:val="17"/>
              </w:numPr>
              <w:tabs>
                <w:tab w:val="left" w:pos="1928"/>
                <w:tab w:val="left" w:pos="2211"/>
              </w:tabs>
              <w:spacing w:line="276" w:lineRule="auto"/>
              <w:contextualSpacing w:val="0"/>
              <w:rPr>
                <w:sz w:val="20"/>
              </w:rPr>
            </w:pPr>
            <w:r w:rsidRPr="00786508">
              <w:rPr>
                <w:sz w:val="20"/>
              </w:rPr>
              <w:t>Evaluacija rezultata Programa</w:t>
            </w:r>
          </w:p>
        </w:tc>
      </w:tr>
      <w:tr w:rsidR="00917616" w:rsidRPr="00BE4401"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 xml:space="preserve">Indikator </w:t>
            </w:r>
          </w:p>
        </w:tc>
        <w:tc>
          <w:tcPr>
            <w:tcW w:w="7322" w:type="dxa"/>
            <w:shd w:val="clear" w:color="auto" w:fill="CBE9FA"/>
          </w:tcPr>
          <w:p w:rsidR="00917616" w:rsidRPr="00BE4401" w:rsidRDefault="00917616" w:rsidP="00786508">
            <w:pPr>
              <w:spacing w:line="276" w:lineRule="auto"/>
              <w:rPr>
                <w:i/>
                <w:sz w:val="20"/>
                <w:lang w:val="pl-PL"/>
              </w:rPr>
            </w:pPr>
            <w:r w:rsidRPr="00BE4401">
              <w:rPr>
                <w:i/>
                <w:sz w:val="20"/>
                <w:lang w:val="pl-PL"/>
              </w:rPr>
              <w:t>Povećanje broja domaćinstava koja efikasno koriste ogrevno drvo za najmanje 10% u 202</w:t>
            </w:r>
            <w:r>
              <w:rPr>
                <w:i/>
                <w:sz w:val="20"/>
                <w:lang w:val="pl-PL"/>
              </w:rPr>
              <w:t>2</w:t>
            </w:r>
            <w:r w:rsidRPr="00BE4401">
              <w:rPr>
                <w:i/>
                <w:sz w:val="20"/>
                <w:lang w:val="pl-PL"/>
              </w:rPr>
              <w:t>. godini u odnosu na baznu 2017. godinu.</w:t>
            </w:r>
          </w:p>
        </w:tc>
      </w:tr>
      <w:tr w:rsidR="00917616" w:rsidRPr="00786508" w:rsidTr="00786508">
        <w:tc>
          <w:tcPr>
            <w:tcW w:w="1740" w:type="dxa"/>
            <w:shd w:val="clear" w:color="auto" w:fill="148DCD"/>
          </w:tcPr>
          <w:p w:rsidR="00917616" w:rsidRPr="00786508" w:rsidRDefault="00917616" w:rsidP="00786508">
            <w:pPr>
              <w:spacing w:line="276" w:lineRule="auto"/>
              <w:rPr>
                <w:b/>
                <w:color w:val="FFFFFF"/>
                <w:sz w:val="20"/>
              </w:rPr>
            </w:pPr>
            <w:r w:rsidRPr="00786508">
              <w:rPr>
                <w:b/>
                <w:color w:val="FFFFFF"/>
                <w:sz w:val="20"/>
              </w:rPr>
              <w:t>Način verifikacije</w:t>
            </w:r>
          </w:p>
        </w:tc>
        <w:tc>
          <w:tcPr>
            <w:tcW w:w="7322" w:type="dxa"/>
            <w:shd w:val="clear" w:color="auto" w:fill="E9F1F9"/>
          </w:tcPr>
          <w:p w:rsidR="00917616" w:rsidRPr="00786508" w:rsidRDefault="00917616" w:rsidP="00786508">
            <w:pPr>
              <w:spacing w:line="276" w:lineRule="auto"/>
              <w:rPr>
                <w:sz w:val="20"/>
              </w:rPr>
            </w:pPr>
            <w:r w:rsidRPr="00786508">
              <w:rPr>
                <w:sz w:val="20"/>
              </w:rPr>
              <w:t>Sprovedena anketa u domaćinstvima 202</w:t>
            </w:r>
            <w:r>
              <w:rPr>
                <w:sz w:val="20"/>
              </w:rPr>
              <w:t>2</w:t>
            </w:r>
            <w:r w:rsidRPr="00786508">
              <w:rPr>
                <w:sz w:val="20"/>
              </w:rPr>
              <w:t>. godine. Informacija javno objavljena na veb-sajtu opštine.</w:t>
            </w:r>
          </w:p>
        </w:tc>
      </w:tr>
    </w:tbl>
    <w:p w:rsidR="00917616" w:rsidRPr="000345E1" w:rsidRDefault="00917616" w:rsidP="00E7415E">
      <w:pPr>
        <w:spacing w:line="276" w:lineRule="auto"/>
      </w:pPr>
    </w:p>
    <w:p w:rsidR="00917616" w:rsidRPr="00BE4401" w:rsidRDefault="00917616" w:rsidP="00E7415E">
      <w:pPr>
        <w:spacing w:line="276" w:lineRule="auto"/>
        <w:rPr>
          <w:lang w:val="pl-PL"/>
        </w:rPr>
      </w:pPr>
      <w:r w:rsidRPr="00BE4401">
        <w:rPr>
          <w:lang w:val="pl-PL"/>
        </w:rPr>
        <w:t>Aktivnosti za sprovođenje mera su definisane u Akcionom planu za sprovođenje Programa koji se donosi na period od godinu dana i koji se nalazi u Prilogu.</w:t>
      </w:r>
    </w:p>
    <w:p w:rsidR="00917616" w:rsidRPr="00BE4401" w:rsidRDefault="00917616" w:rsidP="00E7415E">
      <w:pPr>
        <w:overflowPunct/>
        <w:autoSpaceDE/>
        <w:autoSpaceDN/>
        <w:adjustRightInd/>
        <w:spacing w:line="276" w:lineRule="auto"/>
        <w:jc w:val="left"/>
        <w:textAlignment w:val="auto"/>
        <w:rPr>
          <w:lang w:val="pl-PL"/>
        </w:rPr>
      </w:pPr>
    </w:p>
    <w:p w:rsidR="00917616" w:rsidRPr="00BE4401" w:rsidRDefault="00917616" w:rsidP="00E7415E">
      <w:pPr>
        <w:overflowPunct/>
        <w:autoSpaceDE/>
        <w:autoSpaceDN/>
        <w:adjustRightInd/>
        <w:spacing w:line="276" w:lineRule="auto"/>
        <w:jc w:val="left"/>
        <w:textAlignment w:val="auto"/>
        <w:rPr>
          <w:b/>
          <w:lang w:val="pl-PL"/>
        </w:rPr>
      </w:pPr>
    </w:p>
    <w:p w:rsidR="00917616" w:rsidRPr="00BE4401" w:rsidRDefault="00917616" w:rsidP="00E7415E">
      <w:pPr>
        <w:overflowPunct/>
        <w:autoSpaceDE/>
        <w:autoSpaceDN/>
        <w:adjustRightInd/>
        <w:spacing w:line="276" w:lineRule="auto"/>
        <w:jc w:val="left"/>
        <w:textAlignment w:val="auto"/>
        <w:rPr>
          <w:b/>
          <w:lang w:val="pl-PL"/>
        </w:rPr>
      </w:pPr>
    </w:p>
    <w:p w:rsidR="00917616" w:rsidRPr="00BE4401" w:rsidRDefault="00917616" w:rsidP="00E7415E">
      <w:pPr>
        <w:overflowPunct/>
        <w:autoSpaceDE/>
        <w:autoSpaceDN/>
        <w:adjustRightInd/>
        <w:spacing w:line="276" w:lineRule="auto"/>
        <w:jc w:val="left"/>
        <w:textAlignment w:val="auto"/>
        <w:rPr>
          <w:b/>
          <w:lang w:val="pl-PL"/>
        </w:rPr>
      </w:pPr>
    </w:p>
    <w:p w:rsidR="00917616" w:rsidRPr="00BE4401" w:rsidRDefault="00917616" w:rsidP="00E7415E">
      <w:pPr>
        <w:overflowPunct/>
        <w:autoSpaceDE/>
        <w:autoSpaceDN/>
        <w:adjustRightInd/>
        <w:spacing w:line="276" w:lineRule="auto"/>
        <w:jc w:val="left"/>
        <w:textAlignment w:val="auto"/>
        <w:rPr>
          <w:b/>
          <w:lang w:val="pl-PL"/>
        </w:rPr>
      </w:pPr>
    </w:p>
    <w:p w:rsidR="00917616" w:rsidRPr="00BE4401" w:rsidRDefault="00917616" w:rsidP="00E7415E">
      <w:pPr>
        <w:overflowPunct/>
        <w:autoSpaceDE/>
        <w:autoSpaceDN/>
        <w:adjustRightInd/>
        <w:spacing w:line="276" w:lineRule="auto"/>
        <w:jc w:val="left"/>
        <w:textAlignment w:val="auto"/>
        <w:rPr>
          <w:b/>
          <w:lang w:val="pl-PL"/>
        </w:rPr>
      </w:pPr>
      <w:r w:rsidRPr="00BE4401">
        <w:rPr>
          <w:b/>
          <w:lang w:val="pl-PL"/>
        </w:rPr>
        <w:t>PREGLED MERA I ZBIRNIH REZULTATA</w:t>
      </w:r>
    </w:p>
    <w:p w:rsidR="00917616" w:rsidRPr="00BE4401" w:rsidRDefault="00917616" w:rsidP="00E7415E">
      <w:pPr>
        <w:overflowPunct/>
        <w:autoSpaceDE/>
        <w:autoSpaceDN/>
        <w:adjustRightInd/>
        <w:spacing w:line="276" w:lineRule="auto"/>
        <w:jc w:val="left"/>
        <w:textAlignment w:val="auto"/>
        <w:rPr>
          <w:lang w:val="pl-PL"/>
        </w:rPr>
      </w:pPr>
      <w:r w:rsidRPr="00BE4401">
        <w:rPr>
          <w:lang w:val="pl-PL"/>
        </w:rPr>
        <w:t>U tabelu ispod dat je zbirni pregled mera sa očekivanim rezultatima i periodom implementacije.</w:t>
      </w:r>
    </w:p>
    <w:p w:rsidR="00917616" w:rsidRPr="00BE4401" w:rsidRDefault="00917616" w:rsidP="00E7415E">
      <w:pPr>
        <w:overflowPunct/>
        <w:autoSpaceDE/>
        <w:autoSpaceDN/>
        <w:adjustRightInd/>
        <w:spacing w:line="276" w:lineRule="auto"/>
        <w:jc w:val="left"/>
        <w:textAlignment w:val="auto"/>
        <w:rPr>
          <w:lang w:val="pl-PL"/>
        </w:rPr>
      </w:pPr>
    </w:p>
    <w:tbl>
      <w:tblPr>
        <w:tblW w:w="94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57" w:type="dxa"/>
          <w:left w:w="57" w:type="dxa"/>
          <w:bottom w:w="57" w:type="dxa"/>
          <w:right w:w="57" w:type="dxa"/>
        </w:tblCellMar>
        <w:tblLook w:val="00A0"/>
      </w:tblPr>
      <w:tblGrid>
        <w:gridCol w:w="4168"/>
        <w:gridCol w:w="3260"/>
        <w:gridCol w:w="1984"/>
      </w:tblGrid>
      <w:tr w:rsidR="00917616" w:rsidRPr="00786508" w:rsidTr="00786508">
        <w:trPr>
          <w:tblHeader/>
        </w:trPr>
        <w:tc>
          <w:tcPr>
            <w:tcW w:w="4168" w:type="dxa"/>
            <w:shd w:val="clear" w:color="auto" w:fill="148DCD"/>
            <w:vAlign w:val="center"/>
          </w:tcPr>
          <w:p w:rsidR="00917616" w:rsidRPr="00786508" w:rsidRDefault="00917616" w:rsidP="00786508">
            <w:pPr>
              <w:overflowPunct/>
              <w:autoSpaceDE/>
              <w:autoSpaceDN/>
              <w:adjustRightInd/>
              <w:spacing w:line="276" w:lineRule="auto"/>
              <w:jc w:val="center"/>
              <w:textAlignment w:val="auto"/>
              <w:rPr>
                <w:b/>
                <w:color w:val="FFFFFF"/>
                <w:sz w:val="20"/>
              </w:rPr>
            </w:pPr>
            <w:r w:rsidRPr="00786508">
              <w:rPr>
                <w:b/>
                <w:color w:val="FFFFFF"/>
                <w:sz w:val="20"/>
              </w:rPr>
              <w:t>SPISAK MERA</w:t>
            </w:r>
          </w:p>
        </w:tc>
        <w:tc>
          <w:tcPr>
            <w:tcW w:w="3260" w:type="dxa"/>
            <w:shd w:val="clear" w:color="auto" w:fill="148DCD"/>
            <w:vAlign w:val="center"/>
          </w:tcPr>
          <w:p w:rsidR="00917616" w:rsidRPr="00786508" w:rsidRDefault="00917616" w:rsidP="00786508">
            <w:pPr>
              <w:overflowPunct/>
              <w:autoSpaceDE/>
              <w:autoSpaceDN/>
              <w:adjustRightInd/>
              <w:spacing w:line="276" w:lineRule="auto"/>
              <w:jc w:val="center"/>
              <w:textAlignment w:val="auto"/>
              <w:rPr>
                <w:b/>
                <w:color w:val="FFFFFF"/>
                <w:sz w:val="20"/>
              </w:rPr>
            </w:pPr>
            <w:r w:rsidRPr="00786508">
              <w:rPr>
                <w:b/>
                <w:color w:val="FFFFFF"/>
                <w:sz w:val="20"/>
              </w:rPr>
              <w:t>KVANTITATIVNI CILJ (INDIKATOR)</w:t>
            </w:r>
          </w:p>
        </w:tc>
        <w:tc>
          <w:tcPr>
            <w:tcW w:w="1984" w:type="dxa"/>
            <w:shd w:val="clear" w:color="auto" w:fill="148DCD"/>
            <w:vAlign w:val="center"/>
          </w:tcPr>
          <w:p w:rsidR="00917616" w:rsidRPr="00786508" w:rsidRDefault="00917616" w:rsidP="00786508">
            <w:pPr>
              <w:overflowPunct/>
              <w:autoSpaceDE/>
              <w:autoSpaceDN/>
              <w:adjustRightInd/>
              <w:spacing w:line="276" w:lineRule="auto"/>
              <w:jc w:val="center"/>
              <w:textAlignment w:val="auto"/>
              <w:rPr>
                <w:b/>
                <w:color w:val="FFFFFF"/>
                <w:sz w:val="20"/>
              </w:rPr>
            </w:pPr>
            <w:r w:rsidRPr="00786508">
              <w:rPr>
                <w:b/>
                <w:color w:val="FFFFFF"/>
                <w:sz w:val="20"/>
              </w:rPr>
              <w:t>PERIOD IMPLEMENTACIJE</w:t>
            </w:r>
          </w:p>
        </w:tc>
      </w:tr>
      <w:tr w:rsidR="00917616" w:rsidRPr="00786508" w:rsidTr="00786508">
        <w:tc>
          <w:tcPr>
            <w:tcW w:w="4168" w:type="dxa"/>
            <w:shd w:val="clear" w:color="auto" w:fill="148DCD"/>
            <w:vAlign w:val="center"/>
          </w:tcPr>
          <w:p w:rsidR="00917616" w:rsidRPr="00786508" w:rsidRDefault="00917616" w:rsidP="00786508">
            <w:pPr>
              <w:overflowPunct/>
              <w:autoSpaceDE/>
              <w:autoSpaceDN/>
              <w:adjustRightInd/>
              <w:spacing w:line="276" w:lineRule="auto"/>
              <w:jc w:val="left"/>
              <w:textAlignment w:val="auto"/>
              <w:rPr>
                <w:b/>
                <w:color w:val="FFFFFF"/>
                <w:sz w:val="20"/>
              </w:rPr>
            </w:pPr>
            <w:r w:rsidRPr="00786508">
              <w:rPr>
                <w:b/>
                <w:color w:val="FFFFFF"/>
                <w:sz w:val="20"/>
              </w:rPr>
              <w:t>1. Zamena mazuta u matičnoj osnovnoj školi u selu Šetonje i  unapređenje energetske efikasnosti u objektima osnovnih škola u selima Veliko Laole i Ranovac kroz zamenu uglja, metarskog drveta i postojećih kotlova sa novim efikasnijim kotlovima na drvnu sečku</w:t>
            </w:r>
          </w:p>
        </w:tc>
        <w:tc>
          <w:tcPr>
            <w:tcW w:w="3260" w:type="dxa"/>
            <w:shd w:val="clear" w:color="auto" w:fill="CBE9FA"/>
            <w:vAlign w:val="center"/>
          </w:tcPr>
          <w:p w:rsidR="00917616" w:rsidRPr="00786508" w:rsidRDefault="00917616" w:rsidP="00786508">
            <w:pPr>
              <w:overflowPunct/>
              <w:autoSpaceDE/>
              <w:autoSpaceDN/>
              <w:adjustRightInd/>
              <w:spacing w:line="276" w:lineRule="auto"/>
              <w:textAlignment w:val="auto"/>
              <w:rPr>
                <w:sz w:val="20"/>
              </w:rPr>
            </w:pPr>
            <w:r w:rsidRPr="00786508">
              <w:rPr>
                <w:i/>
                <w:sz w:val="20"/>
              </w:rPr>
              <w:t>Nakon spr</w:t>
            </w:r>
            <w:r>
              <w:rPr>
                <w:i/>
                <w:sz w:val="20"/>
              </w:rPr>
              <w:t>ovođenja mere cilj je da se 2024</w:t>
            </w:r>
            <w:r w:rsidRPr="00786508">
              <w:rPr>
                <w:i/>
                <w:sz w:val="20"/>
              </w:rPr>
              <w:t>. godine za potrebe grejanja izabranih objekata koristi biomasa u formi drvne sečke kao najjeftinije gorivo.</w:t>
            </w:r>
          </w:p>
        </w:tc>
        <w:tc>
          <w:tcPr>
            <w:tcW w:w="1984" w:type="dxa"/>
            <w:shd w:val="clear" w:color="auto" w:fill="CBE9FA"/>
            <w:vAlign w:val="center"/>
          </w:tcPr>
          <w:p w:rsidR="00917616" w:rsidRPr="00786508" w:rsidRDefault="00917616" w:rsidP="00786508">
            <w:pPr>
              <w:overflowPunct/>
              <w:autoSpaceDE/>
              <w:autoSpaceDN/>
              <w:adjustRightInd/>
              <w:spacing w:line="276" w:lineRule="auto"/>
              <w:jc w:val="center"/>
              <w:textAlignment w:val="auto"/>
              <w:rPr>
                <w:sz w:val="20"/>
              </w:rPr>
            </w:pPr>
            <w:r>
              <w:rPr>
                <w:sz w:val="20"/>
              </w:rPr>
              <w:t>2021-2024</w:t>
            </w:r>
            <w:r w:rsidRPr="00786508">
              <w:rPr>
                <w:sz w:val="20"/>
              </w:rPr>
              <w:t>.</w:t>
            </w:r>
          </w:p>
        </w:tc>
      </w:tr>
      <w:tr w:rsidR="00917616" w:rsidRPr="00786508" w:rsidTr="00786508">
        <w:tc>
          <w:tcPr>
            <w:tcW w:w="4168" w:type="dxa"/>
            <w:shd w:val="clear" w:color="auto" w:fill="148DCD"/>
            <w:vAlign w:val="center"/>
          </w:tcPr>
          <w:p w:rsidR="00917616" w:rsidRPr="00786508" w:rsidRDefault="00917616" w:rsidP="00786508">
            <w:pPr>
              <w:overflowPunct/>
              <w:autoSpaceDE/>
              <w:autoSpaceDN/>
              <w:adjustRightInd/>
              <w:spacing w:line="276" w:lineRule="auto"/>
              <w:jc w:val="left"/>
              <w:textAlignment w:val="auto"/>
              <w:rPr>
                <w:b/>
                <w:color w:val="FFFFFF"/>
                <w:sz w:val="20"/>
              </w:rPr>
            </w:pPr>
            <w:r w:rsidRPr="00786508">
              <w:rPr>
                <w:b/>
                <w:color w:val="FFFFFF"/>
                <w:sz w:val="20"/>
              </w:rPr>
              <w:t>2. Podrška zameni mazuta sa drvnom biomasom u gradskoj toplani kroz izradu odgovarajuće projektno-tehničke dokumentacije</w:t>
            </w:r>
          </w:p>
        </w:tc>
        <w:tc>
          <w:tcPr>
            <w:tcW w:w="3260" w:type="dxa"/>
            <w:shd w:val="clear" w:color="auto" w:fill="E9F1F9"/>
          </w:tcPr>
          <w:p w:rsidR="00917616" w:rsidRPr="00786508" w:rsidRDefault="00917616" w:rsidP="00786508">
            <w:pPr>
              <w:overflowPunct/>
              <w:autoSpaceDE/>
              <w:autoSpaceDN/>
              <w:adjustRightInd/>
              <w:spacing w:line="276" w:lineRule="auto"/>
              <w:textAlignment w:val="auto"/>
              <w:rPr>
                <w:i/>
                <w:sz w:val="20"/>
              </w:rPr>
            </w:pPr>
            <w:r w:rsidRPr="00BE4401">
              <w:rPr>
                <w:i/>
                <w:sz w:val="20"/>
                <w:lang w:val="pl-PL"/>
              </w:rPr>
              <w:t xml:space="preserve">Izrađena projektno-tehnička dokumentacija za zamenu mazuta sa drvnom biomasom u postojećoj gradskoj toplani. </w:t>
            </w:r>
            <w:r w:rsidRPr="00786508">
              <w:rPr>
                <w:i/>
                <w:sz w:val="20"/>
              </w:rPr>
              <w:t>Definisan lanac snabdevanja biomasom.</w:t>
            </w:r>
          </w:p>
        </w:tc>
        <w:tc>
          <w:tcPr>
            <w:tcW w:w="1984" w:type="dxa"/>
            <w:shd w:val="clear" w:color="auto" w:fill="E9F1F9"/>
            <w:vAlign w:val="center"/>
          </w:tcPr>
          <w:p w:rsidR="00917616" w:rsidRPr="00786508" w:rsidRDefault="00917616" w:rsidP="00786508">
            <w:pPr>
              <w:overflowPunct/>
              <w:autoSpaceDE/>
              <w:autoSpaceDN/>
              <w:adjustRightInd/>
              <w:spacing w:line="276" w:lineRule="auto"/>
              <w:jc w:val="center"/>
              <w:textAlignment w:val="auto"/>
              <w:rPr>
                <w:sz w:val="20"/>
              </w:rPr>
            </w:pPr>
            <w:r>
              <w:rPr>
                <w:sz w:val="20"/>
              </w:rPr>
              <w:t>2021-2024</w:t>
            </w:r>
            <w:r w:rsidRPr="00786508">
              <w:rPr>
                <w:sz w:val="20"/>
              </w:rPr>
              <w:t>.</w:t>
            </w:r>
          </w:p>
        </w:tc>
      </w:tr>
      <w:tr w:rsidR="00917616" w:rsidRPr="00786508" w:rsidTr="00786508">
        <w:tc>
          <w:tcPr>
            <w:tcW w:w="4168" w:type="dxa"/>
            <w:shd w:val="clear" w:color="auto" w:fill="148DCD"/>
            <w:vAlign w:val="center"/>
          </w:tcPr>
          <w:p w:rsidR="00917616" w:rsidRPr="00786508" w:rsidRDefault="00917616" w:rsidP="00786508">
            <w:pPr>
              <w:overflowPunct/>
              <w:autoSpaceDE/>
              <w:autoSpaceDN/>
              <w:adjustRightInd/>
              <w:spacing w:line="276" w:lineRule="auto"/>
              <w:jc w:val="left"/>
              <w:textAlignment w:val="auto"/>
              <w:rPr>
                <w:b/>
                <w:color w:val="FFFFFF"/>
                <w:sz w:val="20"/>
              </w:rPr>
            </w:pPr>
            <w:r w:rsidRPr="00786508">
              <w:rPr>
                <w:b/>
                <w:color w:val="FFFFFF"/>
                <w:sz w:val="20"/>
              </w:rPr>
              <w:t>3. Edukativna kampanja o pravilnom i efikasnom korišćenju ogrevnog drveta u domaćinstvima</w:t>
            </w:r>
          </w:p>
        </w:tc>
        <w:tc>
          <w:tcPr>
            <w:tcW w:w="3260" w:type="dxa"/>
            <w:shd w:val="clear" w:color="auto" w:fill="CBE9FA"/>
          </w:tcPr>
          <w:p w:rsidR="00917616" w:rsidRPr="00BE4401" w:rsidRDefault="00917616" w:rsidP="00786508">
            <w:pPr>
              <w:overflowPunct/>
              <w:autoSpaceDE/>
              <w:autoSpaceDN/>
              <w:adjustRightInd/>
              <w:spacing w:line="276" w:lineRule="auto"/>
              <w:textAlignment w:val="auto"/>
              <w:rPr>
                <w:sz w:val="20"/>
                <w:lang w:val="pl-PL"/>
              </w:rPr>
            </w:pPr>
            <w:r w:rsidRPr="00BE4401">
              <w:rPr>
                <w:i/>
                <w:sz w:val="20"/>
                <w:lang w:val="pl-PL"/>
              </w:rPr>
              <w:t>Povećanje broja domaćinstava koja efikasno koriste ogrevno drvo za najmanje 10% u 2021. godini u odnosu na baznu 2017. godinu.</w:t>
            </w:r>
          </w:p>
        </w:tc>
        <w:tc>
          <w:tcPr>
            <w:tcW w:w="1984" w:type="dxa"/>
            <w:shd w:val="clear" w:color="auto" w:fill="CBE9FA"/>
            <w:vAlign w:val="center"/>
          </w:tcPr>
          <w:p w:rsidR="00917616" w:rsidRPr="00786508" w:rsidRDefault="00917616" w:rsidP="00786508">
            <w:pPr>
              <w:overflowPunct/>
              <w:autoSpaceDE/>
              <w:autoSpaceDN/>
              <w:adjustRightInd/>
              <w:spacing w:line="276" w:lineRule="auto"/>
              <w:jc w:val="center"/>
              <w:textAlignment w:val="auto"/>
              <w:rPr>
                <w:sz w:val="20"/>
              </w:rPr>
            </w:pPr>
            <w:r>
              <w:rPr>
                <w:sz w:val="20"/>
              </w:rPr>
              <w:t>2021-2024</w:t>
            </w:r>
            <w:r w:rsidRPr="00786508">
              <w:rPr>
                <w:sz w:val="20"/>
              </w:rPr>
              <w:t>.</w:t>
            </w:r>
          </w:p>
        </w:tc>
      </w:tr>
    </w:tbl>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pPr>
    </w:p>
    <w:p w:rsidR="00917616" w:rsidRPr="000345E1" w:rsidRDefault="00917616" w:rsidP="00E7415E">
      <w:pPr>
        <w:overflowPunct/>
        <w:autoSpaceDE/>
        <w:autoSpaceDN/>
        <w:adjustRightInd/>
        <w:spacing w:line="276" w:lineRule="auto"/>
        <w:jc w:val="left"/>
        <w:textAlignment w:val="auto"/>
        <w:rPr>
          <w:rFonts w:cs="Arial"/>
          <w:b/>
          <w:color w:val="121754"/>
          <w:spacing w:val="60"/>
          <w:sz w:val="28"/>
        </w:rPr>
      </w:pPr>
      <w:r w:rsidRPr="000345E1">
        <w:br w:type="page"/>
      </w:r>
    </w:p>
    <w:p w:rsidR="00917616" w:rsidRPr="000345E1" w:rsidRDefault="00917616" w:rsidP="00E7415E">
      <w:pPr>
        <w:pStyle w:val="Heading1"/>
        <w:numPr>
          <w:ilvl w:val="0"/>
          <w:numId w:val="12"/>
        </w:numPr>
        <w:spacing w:before="0" w:after="120" w:line="276" w:lineRule="auto"/>
      </w:pPr>
      <w:bookmarkStart w:id="16" w:name="_Toc531367210"/>
      <w:r w:rsidRPr="000345E1">
        <w:t>PRAĆENJE SPROVOĐENJA PROGRAMA</w:t>
      </w:r>
      <w:bookmarkEnd w:id="16"/>
    </w:p>
    <w:p w:rsidR="00917616" w:rsidRPr="000345E1" w:rsidRDefault="00917616" w:rsidP="00E7415E">
      <w:pPr>
        <w:pStyle w:val="Heading2"/>
        <w:numPr>
          <w:ilvl w:val="1"/>
          <w:numId w:val="12"/>
        </w:numPr>
        <w:spacing w:before="0" w:after="120" w:line="276" w:lineRule="auto"/>
      </w:pPr>
      <w:bookmarkStart w:id="17" w:name="_Toc531367211"/>
      <w:r w:rsidRPr="000345E1">
        <w:t>Način praćenja sprovođenja programa</w:t>
      </w:r>
      <w:bookmarkEnd w:id="17"/>
    </w:p>
    <w:p w:rsidR="00917616" w:rsidRPr="002A4FF9" w:rsidRDefault="00917616" w:rsidP="00E7415E">
      <w:pPr>
        <w:tabs>
          <w:tab w:val="left" w:pos="2970"/>
        </w:tabs>
        <w:overflowPunct/>
        <w:spacing w:line="276" w:lineRule="auto"/>
        <w:textAlignment w:val="auto"/>
        <w:rPr>
          <w:rFonts w:eastAsia="CIDFont+F1" w:cs="Arial"/>
        </w:rPr>
      </w:pPr>
      <w:r w:rsidRPr="002A4FF9">
        <w:rPr>
          <w:rFonts w:eastAsia="CIDFont+F1" w:cs="Arial"/>
        </w:rPr>
        <w:t>Praćenje izvršenja Programa za korišćenje biomase u energetske svrhe je nadležnost energetskog menadžera opštine. Izveštavanje o sprovedenim merama i aktivnostima u zameni fosilnih goriva sa biomasom su deo izveštavanja prema ministarstvu nadležnom za poslove energetike. Ovo ministarstvo prati, vrši proveru i ocenu ušteda energije u skladu</w:t>
      </w:r>
      <w:r>
        <w:rPr>
          <w:rFonts w:eastAsia="CIDFont+F1" w:cs="Arial"/>
        </w:rPr>
        <w:t xml:space="preserve"> </w:t>
      </w:r>
      <w:r w:rsidRPr="002A4FF9">
        <w:rPr>
          <w:rFonts w:eastAsia="CIDFont+F1" w:cs="Arial"/>
        </w:rPr>
        <w:t>sa Pravilnikom o načinu i rokovima dostavlјanja podataka neophodnih za praćenje sprovođenja akcionog plana za energetsku efikasnost u Republici Srbiji i metodologiji za praćenje, proveru i ocenu efekata njegovog sprovođenja (Sl. glasnik RS, br. 37/15). Istim članom Zakona o efikasnom korišćenju energije propisano je i da su organi državne uprave, nadležni organi autonomne pokrajine i jedinice lokalne samouprave, u okviru svojih nadležnosti, odgovorni za sprovođenje akcionog plana i dužni da dostavlјaju ministarstvu podatke neophodne za praćenje sprovođenja akcionog plana.</w:t>
      </w:r>
    </w:p>
    <w:p w:rsidR="00917616" w:rsidRPr="000345E1" w:rsidRDefault="00917616" w:rsidP="00E7415E">
      <w:pPr>
        <w:spacing w:line="276" w:lineRule="auto"/>
      </w:pPr>
    </w:p>
    <w:p w:rsidR="00917616" w:rsidRPr="00CE0ABC" w:rsidRDefault="00917616" w:rsidP="00E7415E">
      <w:pPr>
        <w:pStyle w:val="Heading2"/>
        <w:numPr>
          <w:ilvl w:val="1"/>
          <w:numId w:val="12"/>
        </w:numPr>
        <w:spacing w:before="0" w:after="120" w:line="276" w:lineRule="auto"/>
        <w:rPr>
          <w:lang w:val="pl-PL"/>
        </w:rPr>
      </w:pPr>
      <w:bookmarkStart w:id="18" w:name="_Toc531367212"/>
      <w:r w:rsidRPr="00CE0ABC">
        <w:rPr>
          <w:lang w:val="pl-PL"/>
        </w:rPr>
        <w:t>Izveštaj o sprovođenju programa u prethodnom periodu</w:t>
      </w:r>
      <w:bookmarkEnd w:id="18"/>
    </w:p>
    <w:p w:rsidR="00917616" w:rsidRPr="00CE0ABC" w:rsidRDefault="00917616" w:rsidP="00E7415E">
      <w:pPr>
        <w:tabs>
          <w:tab w:val="left" w:pos="2970"/>
        </w:tabs>
        <w:spacing w:line="276" w:lineRule="auto"/>
        <w:rPr>
          <w:lang w:val="pl-PL"/>
        </w:rPr>
      </w:pPr>
      <w:r w:rsidRPr="00CE0ABC">
        <w:rPr>
          <w:rFonts w:eastAsia="CIDFont+F2" w:cs="Arial"/>
          <w:lang w:val="pl-PL"/>
        </w:rPr>
        <w:t>Ovaj dokument je prvi izrađeni Program za korišćenje biomase u energetske svrhe u opštini Petrovac na Mlavi tako da ne sadrži podatke o sprovođenju programa u prethodnom periodu.</w:t>
      </w: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spacing w:line="276" w:lineRule="auto"/>
        <w:rPr>
          <w:lang w:val="pl-PL"/>
        </w:rPr>
      </w:pPr>
    </w:p>
    <w:p w:rsidR="00917616" w:rsidRPr="00CE0ABC" w:rsidRDefault="00917616" w:rsidP="00E7415E">
      <w:pPr>
        <w:rPr>
          <w:lang w:val="pl-PL"/>
        </w:rPr>
      </w:pPr>
      <w:r w:rsidRPr="00CE0ABC">
        <w:rPr>
          <w:lang w:val="pl-PL"/>
        </w:rPr>
        <w:br w:type="page"/>
      </w:r>
    </w:p>
    <w:p w:rsidR="00917616" w:rsidRPr="00CE0ABC" w:rsidRDefault="00917616" w:rsidP="00E7415E">
      <w:pPr>
        <w:pStyle w:val="Heading1"/>
        <w:numPr>
          <w:ilvl w:val="0"/>
          <w:numId w:val="0"/>
        </w:numPr>
        <w:spacing w:before="0" w:after="120" w:line="276" w:lineRule="auto"/>
        <w:rPr>
          <w:lang w:val="pl-PL"/>
        </w:rPr>
      </w:pPr>
      <w:bookmarkStart w:id="19" w:name="_Toc531367213"/>
      <w:r w:rsidRPr="00CE0ABC">
        <w:rPr>
          <w:lang w:val="pl-PL"/>
        </w:rPr>
        <w:t xml:space="preserve">PRILOG 1: </w:t>
      </w:r>
      <w:r w:rsidRPr="00CE0ABC">
        <w:rPr>
          <w:caps/>
          <w:lang w:val="pl-PL"/>
        </w:rPr>
        <w:t>Akcioni plan</w:t>
      </w:r>
      <w:bookmarkEnd w:id="19"/>
      <w:r w:rsidRPr="00CE0ABC">
        <w:rPr>
          <w:caps/>
          <w:lang w:val="pl-PL"/>
        </w:rPr>
        <w:t xml:space="preserve"> </w:t>
      </w:r>
    </w:p>
    <w:p w:rsidR="00917616" w:rsidRPr="00CE0ABC" w:rsidRDefault="00917616" w:rsidP="00E7415E">
      <w:pPr>
        <w:overflowPunct/>
        <w:autoSpaceDE/>
        <w:autoSpaceDN/>
        <w:adjustRightInd/>
        <w:spacing w:line="276" w:lineRule="auto"/>
        <w:textAlignment w:val="auto"/>
        <w:rPr>
          <w:lang w:val="pl-PL"/>
        </w:rPr>
      </w:pPr>
      <w:r w:rsidRPr="00CE0ABC">
        <w:rPr>
          <w:lang w:val="pl-PL"/>
        </w:rPr>
        <w:t>Skupština jedinice lokalne samouprave donosi Akcion plan kojim definiše aktivnosti za sprovođenje mera.</w:t>
      </w:r>
    </w:p>
    <w:p w:rsidR="00917616" w:rsidRPr="00CE0ABC" w:rsidRDefault="00917616" w:rsidP="00E7415E">
      <w:pPr>
        <w:overflowPunct/>
        <w:autoSpaceDE/>
        <w:autoSpaceDN/>
        <w:adjustRightInd/>
        <w:spacing w:line="276" w:lineRule="auto"/>
        <w:textAlignment w:val="auto"/>
        <w:rPr>
          <w:lang w:val="pl-PL"/>
        </w:rPr>
      </w:pPr>
      <w:r w:rsidRPr="00CE0ABC">
        <w:rPr>
          <w:lang w:val="pl-PL"/>
        </w:rPr>
        <w:t xml:space="preserve">Period implementacije akcionog plana je godinu dana. </w:t>
      </w:r>
    </w:p>
    <w:p w:rsidR="00917616" w:rsidRPr="00CE0ABC" w:rsidRDefault="00917616" w:rsidP="00E7415E">
      <w:pPr>
        <w:overflowPunct/>
        <w:autoSpaceDE/>
        <w:autoSpaceDN/>
        <w:adjustRightInd/>
        <w:spacing w:line="276" w:lineRule="auto"/>
        <w:textAlignment w:val="auto"/>
        <w:rPr>
          <w:lang w:val="pl-PL"/>
        </w:rPr>
      </w:pPr>
    </w:p>
    <w:p w:rsidR="00917616" w:rsidRPr="00CE0ABC" w:rsidRDefault="00917616" w:rsidP="00E7415E">
      <w:pPr>
        <w:overflowPunct/>
        <w:autoSpaceDE/>
        <w:autoSpaceDN/>
        <w:adjustRightInd/>
        <w:spacing w:line="276" w:lineRule="auto"/>
        <w:textAlignment w:val="auto"/>
        <w:rPr>
          <w:lang w:val="pl-PL"/>
        </w:rPr>
      </w:pPr>
      <w:r w:rsidRPr="00CE0ABC">
        <w:rPr>
          <w:i/>
          <w:lang w:val="pl-PL"/>
        </w:rPr>
        <w:t xml:space="preserve">U tabelama u nastavku dat je pregled aktivnosti za predložene mere u funkciji dostizanja postavljenih ciljeva Programa. </w:t>
      </w:r>
    </w:p>
    <w:p w:rsidR="00917616" w:rsidRPr="00CE0ABC" w:rsidRDefault="00917616" w:rsidP="00E7415E">
      <w:pPr>
        <w:overflowPunct/>
        <w:autoSpaceDE/>
        <w:autoSpaceDN/>
        <w:adjustRightInd/>
        <w:spacing w:line="276" w:lineRule="auto"/>
        <w:textAlignment w:val="auto"/>
        <w:rPr>
          <w:lang w:val="pl-PL"/>
        </w:rPr>
      </w:pPr>
    </w:p>
    <w:p w:rsidR="00917616" w:rsidRPr="00CE0ABC" w:rsidRDefault="00917616" w:rsidP="00E7415E">
      <w:pPr>
        <w:pStyle w:val="ListParagraph"/>
        <w:spacing w:line="276" w:lineRule="auto"/>
        <w:ind w:left="227" w:firstLine="0"/>
        <w:contextualSpacing w:val="0"/>
        <w:rPr>
          <w:lang w:val="pl-PL"/>
        </w:rPr>
        <w:sectPr w:rsidR="00917616" w:rsidRPr="00CE0ABC" w:rsidSect="00E7415E">
          <w:headerReference w:type="even" r:id="rId20"/>
          <w:pgSz w:w="11907" w:h="16840" w:code="9"/>
          <w:pgMar w:top="1134" w:right="1134" w:bottom="1134" w:left="1701" w:header="567" w:footer="567" w:gutter="0"/>
          <w:cols w:space="708"/>
          <w:docGrid w:linePitch="360"/>
        </w:sect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88"/>
        <w:gridCol w:w="2484"/>
        <w:gridCol w:w="2268"/>
        <w:gridCol w:w="2268"/>
        <w:gridCol w:w="1910"/>
        <w:gridCol w:w="2342"/>
        <w:gridCol w:w="1560"/>
        <w:gridCol w:w="1559"/>
      </w:tblGrid>
      <w:tr w:rsidR="00917616" w:rsidRPr="00786508" w:rsidTr="00E7415E">
        <w:tc>
          <w:tcPr>
            <w:tcW w:w="988" w:type="dxa"/>
          </w:tcPr>
          <w:p w:rsidR="00917616" w:rsidRPr="00786508" w:rsidRDefault="00917616" w:rsidP="00E7415E">
            <w:pPr>
              <w:spacing w:line="276" w:lineRule="auto"/>
              <w:rPr>
                <w:rFonts w:cs="Arial"/>
                <w:b/>
                <w:szCs w:val="24"/>
              </w:rPr>
            </w:pPr>
            <w:r w:rsidRPr="00786508">
              <w:rPr>
                <w:rFonts w:cs="Arial"/>
                <w:b/>
                <w:szCs w:val="24"/>
              </w:rPr>
              <w:t>Mera 1</w:t>
            </w:r>
          </w:p>
        </w:tc>
        <w:tc>
          <w:tcPr>
            <w:tcW w:w="14391" w:type="dxa"/>
            <w:gridSpan w:val="7"/>
          </w:tcPr>
          <w:p w:rsidR="00917616" w:rsidRPr="00786508" w:rsidRDefault="00917616" w:rsidP="00E7415E">
            <w:pPr>
              <w:spacing w:line="276" w:lineRule="auto"/>
              <w:jc w:val="center"/>
              <w:rPr>
                <w:rFonts w:cs="Arial"/>
                <w:b/>
                <w:szCs w:val="24"/>
              </w:rPr>
            </w:pPr>
            <w:r w:rsidRPr="00786508">
              <w:rPr>
                <w:b/>
              </w:rPr>
              <w:t>Zamena mazuta u matičnoj osnovnoj školi u selu Šetonje i  unapređenje energetske efikasnosti u objektima osnovnih škola u selima Veliko Laole i Ranovac kroz zamenu uglja, metarskog drveta i postojećih kotlova sa novim efikasnijim kotlovima na drvnu sečku</w:t>
            </w:r>
          </w:p>
        </w:tc>
      </w:tr>
      <w:tr w:rsidR="00917616" w:rsidRPr="00786508" w:rsidTr="00E7415E">
        <w:tc>
          <w:tcPr>
            <w:tcW w:w="988" w:type="dxa"/>
          </w:tcPr>
          <w:p w:rsidR="00917616" w:rsidRPr="00786508" w:rsidRDefault="00917616" w:rsidP="00E7415E">
            <w:pPr>
              <w:spacing w:line="276" w:lineRule="auto"/>
              <w:rPr>
                <w:rFonts w:cs="Arial"/>
                <w:b/>
                <w:szCs w:val="24"/>
              </w:rPr>
            </w:pPr>
          </w:p>
        </w:tc>
        <w:tc>
          <w:tcPr>
            <w:tcW w:w="2484" w:type="dxa"/>
            <w:vAlign w:val="center"/>
          </w:tcPr>
          <w:p w:rsidR="00917616" w:rsidRPr="00786508" w:rsidRDefault="00917616" w:rsidP="00E7415E">
            <w:pPr>
              <w:spacing w:line="276" w:lineRule="auto"/>
              <w:jc w:val="left"/>
              <w:rPr>
                <w:rFonts w:cs="Arial"/>
                <w:b/>
                <w:szCs w:val="24"/>
              </w:rPr>
            </w:pPr>
            <w:r w:rsidRPr="00786508">
              <w:rPr>
                <w:rFonts w:cs="Arial"/>
                <w:b/>
                <w:szCs w:val="24"/>
              </w:rPr>
              <w:t>Aktivnost</w:t>
            </w:r>
          </w:p>
        </w:tc>
        <w:tc>
          <w:tcPr>
            <w:tcW w:w="2268" w:type="dxa"/>
            <w:vAlign w:val="center"/>
          </w:tcPr>
          <w:p w:rsidR="00917616" w:rsidRPr="00786508" w:rsidRDefault="00917616" w:rsidP="00E7415E">
            <w:pPr>
              <w:spacing w:line="276" w:lineRule="auto"/>
              <w:jc w:val="left"/>
              <w:rPr>
                <w:rFonts w:cs="Arial"/>
                <w:b/>
                <w:szCs w:val="24"/>
              </w:rPr>
            </w:pPr>
            <w:r w:rsidRPr="00786508">
              <w:rPr>
                <w:rFonts w:cs="Arial"/>
                <w:b/>
                <w:szCs w:val="24"/>
              </w:rPr>
              <w:t>Nosilac</w:t>
            </w:r>
          </w:p>
        </w:tc>
        <w:tc>
          <w:tcPr>
            <w:tcW w:w="2268" w:type="dxa"/>
            <w:vAlign w:val="center"/>
          </w:tcPr>
          <w:p w:rsidR="00917616" w:rsidRPr="00786508" w:rsidRDefault="00917616" w:rsidP="00E7415E">
            <w:pPr>
              <w:spacing w:line="276" w:lineRule="auto"/>
              <w:ind w:left="72"/>
              <w:jc w:val="left"/>
              <w:rPr>
                <w:rFonts w:cs="Arial"/>
                <w:b/>
                <w:szCs w:val="24"/>
              </w:rPr>
            </w:pPr>
            <w:r w:rsidRPr="00786508">
              <w:rPr>
                <w:rFonts w:cs="Arial"/>
                <w:b/>
                <w:szCs w:val="24"/>
              </w:rPr>
              <w:t>Cilj / Indikator</w:t>
            </w:r>
          </w:p>
        </w:tc>
        <w:tc>
          <w:tcPr>
            <w:tcW w:w="1910" w:type="dxa"/>
            <w:vAlign w:val="center"/>
          </w:tcPr>
          <w:p w:rsidR="00917616" w:rsidRPr="00786508" w:rsidRDefault="00917616" w:rsidP="00E7415E">
            <w:pPr>
              <w:spacing w:line="276" w:lineRule="auto"/>
              <w:jc w:val="left"/>
              <w:rPr>
                <w:rFonts w:cs="Arial"/>
                <w:szCs w:val="24"/>
              </w:rPr>
            </w:pPr>
            <w:r w:rsidRPr="00786508">
              <w:rPr>
                <w:rFonts w:cs="Arial"/>
                <w:b/>
                <w:szCs w:val="24"/>
              </w:rPr>
              <w:t>Period implementacije</w:t>
            </w:r>
          </w:p>
        </w:tc>
        <w:tc>
          <w:tcPr>
            <w:tcW w:w="2342" w:type="dxa"/>
            <w:vAlign w:val="center"/>
          </w:tcPr>
          <w:p w:rsidR="00917616" w:rsidRPr="00786508" w:rsidRDefault="00917616" w:rsidP="00E7415E">
            <w:pPr>
              <w:spacing w:line="276" w:lineRule="auto"/>
              <w:jc w:val="left"/>
              <w:rPr>
                <w:rFonts w:cs="Arial"/>
                <w:b/>
                <w:szCs w:val="24"/>
              </w:rPr>
            </w:pPr>
            <w:r w:rsidRPr="00786508">
              <w:rPr>
                <w:rFonts w:cs="Arial"/>
                <w:b/>
                <w:szCs w:val="24"/>
              </w:rPr>
              <w:t>Procena troškova (RSD)</w:t>
            </w:r>
          </w:p>
        </w:tc>
        <w:tc>
          <w:tcPr>
            <w:tcW w:w="1560" w:type="dxa"/>
            <w:vAlign w:val="center"/>
          </w:tcPr>
          <w:p w:rsidR="00917616" w:rsidRPr="00786508" w:rsidRDefault="00917616" w:rsidP="00E7415E">
            <w:pPr>
              <w:spacing w:line="276" w:lineRule="auto"/>
              <w:jc w:val="left"/>
              <w:rPr>
                <w:rFonts w:cs="Arial"/>
                <w:b/>
                <w:szCs w:val="24"/>
              </w:rPr>
            </w:pPr>
            <w:r w:rsidRPr="00786508">
              <w:rPr>
                <w:rFonts w:cs="Arial"/>
                <w:b/>
                <w:szCs w:val="24"/>
              </w:rPr>
              <w:t>Izvor finansiranja</w:t>
            </w:r>
          </w:p>
        </w:tc>
        <w:tc>
          <w:tcPr>
            <w:tcW w:w="1559" w:type="dxa"/>
            <w:vAlign w:val="center"/>
          </w:tcPr>
          <w:p w:rsidR="00917616" w:rsidRPr="00786508" w:rsidRDefault="00917616" w:rsidP="00E7415E">
            <w:pPr>
              <w:spacing w:line="276" w:lineRule="auto"/>
              <w:ind w:left="14"/>
              <w:jc w:val="left"/>
              <w:rPr>
                <w:rFonts w:cs="Arial"/>
                <w:b/>
                <w:szCs w:val="24"/>
              </w:rPr>
            </w:pPr>
            <w:r w:rsidRPr="00786508">
              <w:rPr>
                <w:rFonts w:cs="Arial"/>
                <w:b/>
                <w:szCs w:val="24"/>
              </w:rPr>
              <w:t>Način verifikacije</w:t>
            </w:r>
          </w:p>
        </w:tc>
      </w:tr>
      <w:tr w:rsidR="00917616" w:rsidRPr="00CE0ABC" w:rsidTr="00E7415E">
        <w:tc>
          <w:tcPr>
            <w:tcW w:w="988" w:type="dxa"/>
            <w:vAlign w:val="center"/>
          </w:tcPr>
          <w:p w:rsidR="00917616" w:rsidRPr="00786508" w:rsidRDefault="00917616" w:rsidP="000735EC">
            <w:pPr>
              <w:spacing w:line="276" w:lineRule="auto"/>
              <w:jc w:val="left"/>
              <w:rPr>
                <w:rFonts w:cs="Arial"/>
                <w:szCs w:val="24"/>
              </w:rPr>
            </w:pPr>
            <w:r w:rsidRPr="00786508">
              <w:rPr>
                <w:rFonts w:cs="Arial"/>
                <w:szCs w:val="24"/>
              </w:rPr>
              <w:t>A.1.1</w:t>
            </w:r>
          </w:p>
        </w:tc>
        <w:tc>
          <w:tcPr>
            <w:tcW w:w="2484" w:type="dxa"/>
            <w:vAlign w:val="center"/>
          </w:tcPr>
          <w:p w:rsidR="00917616" w:rsidRPr="00786508" w:rsidRDefault="00917616" w:rsidP="000735EC">
            <w:pPr>
              <w:spacing w:line="276" w:lineRule="auto"/>
              <w:jc w:val="left"/>
              <w:rPr>
                <w:rFonts w:cs="Arial"/>
                <w:szCs w:val="24"/>
              </w:rPr>
            </w:pPr>
            <w:r w:rsidRPr="00786508">
              <w:rPr>
                <w:rFonts w:cs="Arial"/>
                <w:szCs w:val="24"/>
              </w:rPr>
              <w:t>Izrada potrebne projektne dokumentacije</w:t>
            </w:r>
          </w:p>
        </w:tc>
        <w:tc>
          <w:tcPr>
            <w:tcW w:w="2268" w:type="dxa"/>
            <w:vAlign w:val="center"/>
          </w:tcPr>
          <w:p w:rsidR="00917616" w:rsidRPr="00786508" w:rsidRDefault="00917616" w:rsidP="000735EC">
            <w:pPr>
              <w:spacing w:line="276" w:lineRule="auto"/>
              <w:jc w:val="left"/>
              <w:rPr>
                <w:rFonts w:cs="Arial"/>
                <w:szCs w:val="24"/>
              </w:rPr>
            </w:pPr>
            <w:r w:rsidRPr="00786508">
              <w:rPr>
                <w:rFonts w:cs="Arial"/>
                <w:szCs w:val="24"/>
              </w:rPr>
              <w:t>Direktori škola/Energetski menadžer</w:t>
            </w:r>
          </w:p>
        </w:tc>
        <w:tc>
          <w:tcPr>
            <w:tcW w:w="2268" w:type="dxa"/>
            <w:vAlign w:val="center"/>
          </w:tcPr>
          <w:p w:rsidR="00917616" w:rsidRPr="00786508" w:rsidRDefault="00917616" w:rsidP="000735EC">
            <w:pPr>
              <w:spacing w:line="276" w:lineRule="auto"/>
              <w:ind w:left="72"/>
              <w:jc w:val="left"/>
              <w:rPr>
                <w:rFonts w:cs="Arial"/>
                <w:szCs w:val="24"/>
              </w:rPr>
            </w:pPr>
            <w:r w:rsidRPr="00786508">
              <w:rPr>
                <w:rFonts w:cs="Arial"/>
                <w:szCs w:val="24"/>
              </w:rPr>
              <w:t>Izrađena potrebna projektna dokumentacija</w:t>
            </w:r>
          </w:p>
        </w:tc>
        <w:tc>
          <w:tcPr>
            <w:tcW w:w="1910" w:type="dxa"/>
            <w:vAlign w:val="center"/>
          </w:tcPr>
          <w:p w:rsidR="00917616" w:rsidRPr="00786508" w:rsidRDefault="00917616" w:rsidP="000735EC">
            <w:pPr>
              <w:spacing w:line="276" w:lineRule="auto"/>
              <w:jc w:val="center"/>
              <w:rPr>
                <w:rFonts w:cs="Arial"/>
                <w:szCs w:val="24"/>
              </w:rPr>
            </w:pPr>
            <w:r>
              <w:rPr>
                <w:rFonts w:cs="Arial"/>
                <w:szCs w:val="24"/>
              </w:rPr>
              <w:t>2021</w:t>
            </w:r>
            <w:r w:rsidRPr="00786508">
              <w:rPr>
                <w:rFonts w:cs="Arial"/>
                <w:szCs w:val="24"/>
              </w:rPr>
              <w:t>.</w:t>
            </w:r>
          </w:p>
        </w:tc>
        <w:tc>
          <w:tcPr>
            <w:tcW w:w="2342" w:type="dxa"/>
            <w:vAlign w:val="center"/>
          </w:tcPr>
          <w:p w:rsidR="00917616" w:rsidRPr="00786508" w:rsidRDefault="00917616" w:rsidP="000735EC">
            <w:pPr>
              <w:spacing w:line="276" w:lineRule="auto"/>
              <w:jc w:val="center"/>
              <w:rPr>
                <w:rFonts w:cs="Arial"/>
                <w:szCs w:val="24"/>
              </w:rPr>
            </w:pPr>
            <w:r>
              <w:rPr>
                <w:rFonts w:cs="Arial"/>
                <w:szCs w:val="24"/>
              </w:rPr>
              <w:t>5</w:t>
            </w:r>
            <w:r w:rsidRPr="00786508">
              <w:rPr>
                <w:rFonts w:cs="Arial"/>
                <w:szCs w:val="24"/>
              </w:rPr>
              <w:t>00.000</w:t>
            </w:r>
          </w:p>
        </w:tc>
        <w:tc>
          <w:tcPr>
            <w:tcW w:w="1560" w:type="dxa"/>
            <w:vAlign w:val="center"/>
          </w:tcPr>
          <w:p w:rsidR="00917616" w:rsidRPr="00786508" w:rsidRDefault="00917616" w:rsidP="000735EC">
            <w:pPr>
              <w:spacing w:line="276" w:lineRule="auto"/>
              <w:jc w:val="left"/>
              <w:rPr>
                <w:rFonts w:cs="Arial"/>
                <w:szCs w:val="24"/>
              </w:rPr>
            </w:pPr>
            <w:r w:rsidRPr="00786508">
              <w:rPr>
                <w:rFonts w:cs="Arial"/>
                <w:szCs w:val="24"/>
              </w:rPr>
              <w:t>Budžet lokalne samopurave</w:t>
            </w:r>
          </w:p>
        </w:tc>
        <w:tc>
          <w:tcPr>
            <w:tcW w:w="1559" w:type="dxa"/>
            <w:vAlign w:val="center"/>
          </w:tcPr>
          <w:p w:rsidR="00917616" w:rsidRPr="00CE0ABC" w:rsidRDefault="00917616" w:rsidP="000735EC">
            <w:pPr>
              <w:spacing w:line="276" w:lineRule="auto"/>
              <w:jc w:val="left"/>
              <w:rPr>
                <w:i/>
                <w:lang w:val="pl-PL"/>
              </w:rPr>
            </w:pPr>
            <w:r w:rsidRPr="00CE0ABC">
              <w:rPr>
                <w:rFonts w:cs="Arial"/>
                <w:szCs w:val="24"/>
                <w:lang w:val="pl-PL"/>
              </w:rPr>
              <w:t>Izrađena i odobrena projektna dokumentacija</w:t>
            </w:r>
          </w:p>
        </w:tc>
      </w:tr>
      <w:tr w:rsidR="00917616" w:rsidRPr="00CE0ABC" w:rsidTr="00E7415E">
        <w:tc>
          <w:tcPr>
            <w:tcW w:w="988" w:type="dxa"/>
            <w:vAlign w:val="center"/>
          </w:tcPr>
          <w:p w:rsidR="00917616" w:rsidRPr="00786508" w:rsidRDefault="00917616" w:rsidP="000735EC">
            <w:pPr>
              <w:spacing w:line="276" w:lineRule="auto"/>
              <w:jc w:val="left"/>
              <w:rPr>
                <w:rFonts w:cs="Arial"/>
                <w:szCs w:val="24"/>
              </w:rPr>
            </w:pPr>
            <w:r w:rsidRPr="00786508">
              <w:rPr>
                <w:rFonts w:cs="Arial"/>
                <w:szCs w:val="24"/>
              </w:rPr>
              <w:t>A.1.2</w:t>
            </w:r>
          </w:p>
        </w:tc>
        <w:tc>
          <w:tcPr>
            <w:tcW w:w="2484" w:type="dxa"/>
            <w:vAlign w:val="center"/>
          </w:tcPr>
          <w:p w:rsidR="00917616" w:rsidRPr="00786508" w:rsidRDefault="00917616" w:rsidP="000735EC">
            <w:pPr>
              <w:spacing w:line="276" w:lineRule="auto"/>
              <w:jc w:val="left"/>
              <w:rPr>
                <w:rFonts w:cs="Arial"/>
                <w:szCs w:val="24"/>
              </w:rPr>
            </w:pPr>
            <w:r w:rsidRPr="00786508">
              <w:rPr>
                <w:rFonts w:cs="Arial"/>
                <w:szCs w:val="24"/>
              </w:rPr>
              <w:t>Nabavka savremenih kotlova na biomasu sa pratećim sistemima za grejanje školskih objekata</w:t>
            </w:r>
          </w:p>
        </w:tc>
        <w:tc>
          <w:tcPr>
            <w:tcW w:w="2268" w:type="dxa"/>
            <w:vAlign w:val="center"/>
          </w:tcPr>
          <w:p w:rsidR="00917616" w:rsidRPr="00786508" w:rsidRDefault="00917616" w:rsidP="000735EC">
            <w:pPr>
              <w:spacing w:line="276" w:lineRule="auto"/>
              <w:jc w:val="left"/>
              <w:rPr>
                <w:rFonts w:cs="Arial"/>
                <w:szCs w:val="24"/>
              </w:rPr>
            </w:pPr>
            <w:r w:rsidRPr="00786508">
              <w:rPr>
                <w:rFonts w:cs="Arial"/>
                <w:szCs w:val="24"/>
              </w:rPr>
              <w:t>Energetski menadžer / Direktori škola</w:t>
            </w:r>
          </w:p>
        </w:tc>
        <w:tc>
          <w:tcPr>
            <w:tcW w:w="2268" w:type="dxa"/>
            <w:vAlign w:val="center"/>
          </w:tcPr>
          <w:p w:rsidR="00917616" w:rsidRPr="00786508" w:rsidRDefault="00917616" w:rsidP="000735EC">
            <w:pPr>
              <w:spacing w:line="276" w:lineRule="auto"/>
              <w:ind w:left="72"/>
              <w:jc w:val="left"/>
            </w:pPr>
            <w:r w:rsidRPr="00786508">
              <w:t>OŠ „Miroslav Bukumirović-Bukum”, Šetonje,</w:t>
            </w:r>
          </w:p>
          <w:p w:rsidR="00917616" w:rsidRPr="00CE0ABC" w:rsidRDefault="00917616" w:rsidP="000735EC">
            <w:pPr>
              <w:spacing w:line="276" w:lineRule="auto"/>
              <w:ind w:left="72"/>
              <w:jc w:val="left"/>
              <w:rPr>
                <w:lang w:val="pl-PL"/>
              </w:rPr>
            </w:pPr>
            <w:r w:rsidRPr="00CE0ABC">
              <w:rPr>
                <w:lang w:val="pl-PL"/>
              </w:rPr>
              <w:t xml:space="preserve">OŠ ’’Žarko Zrenjanin’’ Veliko Laole i </w:t>
            </w:r>
          </w:p>
          <w:p w:rsidR="00917616" w:rsidRPr="00CE0ABC" w:rsidRDefault="00917616" w:rsidP="000735EC">
            <w:pPr>
              <w:spacing w:line="276" w:lineRule="auto"/>
              <w:ind w:left="72"/>
              <w:jc w:val="left"/>
              <w:rPr>
                <w:rFonts w:cs="Arial"/>
                <w:szCs w:val="24"/>
                <w:lang w:val="pl-PL"/>
              </w:rPr>
            </w:pPr>
            <w:r w:rsidRPr="00CE0ABC">
              <w:rPr>
                <w:lang w:val="pl-PL"/>
              </w:rPr>
              <w:t>OŠ ’’Jovan Šerbanović’’, Ranovac za potrebe grejanja koriste drvnu biomasu u formi drvne sečke</w:t>
            </w:r>
          </w:p>
        </w:tc>
        <w:tc>
          <w:tcPr>
            <w:tcW w:w="1910" w:type="dxa"/>
            <w:vAlign w:val="center"/>
          </w:tcPr>
          <w:p w:rsidR="00917616" w:rsidRPr="00786508" w:rsidRDefault="00917616" w:rsidP="000735EC">
            <w:pPr>
              <w:spacing w:line="276" w:lineRule="auto"/>
              <w:jc w:val="center"/>
              <w:rPr>
                <w:rFonts w:cs="Arial"/>
                <w:szCs w:val="24"/>
              </w:rPr>
            </w:pPr>
            <w:r>
              <w:rPr>
                <w:rFonts w:cs="Arial"/>
                <w:szCs w:val="24"/>
              </w:rPr>
              <w:t>2021-2024</w:t>
            </w:r>
            <w:r w:rsidRPr="00786508">
              <w:rPr>
                <w:rFonts w:cs="Arial"/>
                <w:szCs w:val="24"/>
              </w:rPr>
              <w:t>.</w:t>
            </w:r>
          </w:p>
        </w:tc>
        <w:tc>
          <w:tcPr>
            <w:tcW w:w="2342" w:type="dxa"/>
            <w:vAlign w:val="center"/>
          </w:tcPr>
          <w:p w:rsidR="00917616" w:rsidRPr="00786508" w:rsidRDefault="00917616" w:rsidP="000735EC">
            <w:pPr>
              <w:spacing w:line="276" w:lineRule="auto"/>
              <w:jc w:val="center"/>
              <w:rPr>
                <w:rFonts w:cs="Arial"/>
                <w:szCs w:val="24"/>
              </w:rPr>
            </w:pPr>
            <w:r w:rsidRPr="00786508">
              <w:rPr>
                <w:rFonts w:cs="Arial"/>
                <w:szCs w:val="24"/>
              </w:rPr>
              <w:t>9.600.000-16.800.000</w:t>
            </w:r>
          </w:p>
        </w:tc>
        <w:tc>
          <w:tcPr>
            <w:tcW w:w="1560" w:type="dxa"/>
            <w:vAlign w:val="center"/>
          </w:tcPr>
          <w:p w:rsidR="00917616" w:rsidRPr="00786508" w:rsidRDefault="00917616" w:rsidP="000735EC">
            <w:pPr>
              <w:spacing w:line="276" w:lineRule="auto"/>
              <w:jc w:val="left"/>
              <w:rPr>
                <w:rFonts w:cs="Arial"/>
                <w:szCs w:val="24"/>
              </w:rPr>
            </w:pPr>
            <w:r w:rsidRPr="00786508">
              <w:rPr>
                <w:rFonts w:cs="Arial"/>
                <w:szCs w:val="24"/>
              </w:rPr>
              <w:t>Budžet JLS</w:t>
            </w:r>
          </w:p>
          <w:p w:rsidR="00917616" w:rsidRPr="00786508" w:rsidRDefault="00917616" w:rsidP="000735EC">
            <w:pPr>
              <w:spacing w:line="276" w:lineRule="auto"/>
              <w:jc w:val="left"/>
              <w:rPr>
                <w:rFonts w:cs="Arial"/>
                <w:szCs w:val="24"/>
              </w:rPr>
            </w:pPr>
            <w:r w:rsidRPr="00786508">
              <w:rPr>
                <w:rFonts w:cs="Arial"/>
                <w:szCs w:val="24"/>
              </w:rPr>
              <w:t>Donatori</w:t>
            </w:r>
          </w:p>
          <w:p w:rsidR="00917616" w:rsidRPr="00786508" w:rsidRDefault="00917616" w:rsidP="000735EC">
            <w:pPr>
              <w:spacing w:line="276" w:lineRule="auto"/>
              <w:jc w:val="left"/>
              <w:rPr>
                <w:rFonts w:cs="Arial"/>
                <w:szCs w:val="24"/>
              </w:rPr>
            </w:pPr>
            <w:r w:rsidRPr="00786508">
              <w:rPr>
                <w:rFonts w:cs="Arial"/>
                <w:szCs w:val="24"/>
              </w:rPr>
              <w:t>Fond za energetsku efikasnost</w:t>
            </w:r>
          </w:p>
          <w:p w:rsidR="00917616" w:rsidRPr="00786508" w:rsidRDefault="00917616" w:rsidP="000735EC">
            <w:pPr>
              <w:spacing w:line="276" w:lineRule="auto"/>
              <w:jc w:val="left"/>
              <w:rPr>
                <w:rFonts w:cs="Arial"/>
                <w:szCs w:val="24"/>
              </w:rPr>
            </w:pPr>
            <w:r w:rsidRPr="00786508">
              <w:t>KUJU</w:t>
            </w:r>
          </w:p>
        </w:tc>
        <w:tc>
          <w:tcPr>
            <w:tcW w:w="1559" w:type="dxa"/>
            <w:vAlign w:val="center"/>
          </w:tcPr>
          <w:p w:rsidR="00917616" w:rsidRPr="00CE0ABC" w:rsidRDefault="00917616" w:rsidP="000735EC">
            <w:pPr>
              <w:spacing w:line="276" w:lineRule="auto"/>
              <w:jc w:val="left"/>
              <w:rPr>
                <w:rFonts w:cs="Arial"/>
                <w:szCs w:val="24"/>
                <w:lang w:val="pl-PL"/>
              </w:rPr>
            </w:pPr>
            <w:r w:rsidRPr="00CE0ABC">
              <w:rPr>
                <w:i/>
                <w:lang w:val="pl-PL"/>
              </w:rPr>
              <w:t>ISEM / Godišnji izveštaj u skladu sa ZEKE</w:t>
            </w:r>
          </w:p>
        </w:tc>
      </w:tr>
      <w:tr w:rsidR="00917616" w:rsidRPr="00786508" w:rsidTr="00E7415E">
        <w:tc>
          <w:tcPr>
            <w:tcW w:w="988" w:type="dxa"/>
          </w:tcPr>
          <w:p w:rsidR="00917616" w:rsidRPr="00CE0ABC" w:rsidRDefault="00917616" w:rsidP="00E7415E">
            <w:pPr>
              <w:spacing w:line="276" w:lineRule="auto"/>
              <w:rPr>
                <w:rFonts w:cs="Arial"/>
                <w:szCs w:val="24"/>
                <w:lang w:val="pl-PL"/>
              </w:rPr>
            </w:pPr>
          </w:p>
        </w:tc>
        <w:tc>
          <w:tcPr>
            <w:tcW w:w="2484" w:type="dxa"/>
          </w:tcPr>
          <w:p w:rsidR="00917616" w:rsidRPr="00786508" w:rsidRDefault="00917616" w:rsidP="00E7415E">
            <w:pPr>
              <w:spacing w:line="276" w:lineRule="auto"/>
              <w:rPr>
                <w:rFonts w:cs="Arial"/>
                <w:szCs w:val="24"/>
              </w:rPr>
            </w:pPr>
            <w:r w:rsidRPr="00786508">
              <w:rPr>
                <w:rFonts w:cs="Arial"/>
                <w:b/>
                <w:szCs w:val="24"/>
              </w:rPr>
              <w:t>Zbirno za M1</w:t>
            </w:r>
          </w:p>
        </w:tc>
        <w:tc>
          <w:tcPr>
            <w:tcW w:w="11907" w:type="dxa"/>
            <w:gridSpan w:val="6"/>
          </w:tcPr>
          <w:p w:rsidR="00917616" w:rsidRPr="00786508" w:rsidRDefault="00917616" w:rsidP="00E7415E">
            <w:pPr>
              <w:spacing w:line="276" w:lineRule="auto"/>
              <w:rPr>
                <w:rFonts w:cs="Arial"/>
                <w:szCs w:val="24"/>
              </w:rPr>
            </w:pPr>
            <w:r w:rsidRPr="00786508">
              <w:rPr>
                <w:i/>
              </w:rPr>
              <w:t>Osnovne škole u selima Šetonje, Veliko Laole i Ranovac za potrebe grejanja koriste drvnu biomasu u formi drvne sečke.</w:t>
            </w:r>
          </w:p>
        </w:tc>
      </w:tr>
    </w:tbl>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Pr="000345E1" w:rsidRDefault="00917616" w:rsidP="00E7415E">
      <w:pPr>
        <w:overflowPunct/>
        <w:autoSpaceDE/>
        <w:autoSpaceDN/>
        <w:adjustRightInd/>
        <w:spacing w:line="276" w:lineRule="auto"/>
        <w:textAlignment w:val="auto"/>
      </w:pPr>
    </w:p>
    <w:p w:rsidR="00917616" w:rsidRPr="000345E1" w:rsidRDefault="00917616" w:rsidP="00E7415E">
      <w:pPr>
        <w:overflowPunct/>
        <w:autoSpaceDE/>
        <w:autoSpaceDN/>
        <w:adjustRightInd/>
        <w:spacing w:line="276" w:lineRule="auto"/>
        <w:textAlignment w:val="auto"/>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6"/>
        <w:gridCol w:w="2626"/>
        <w:gridCol w:w="2693"/>
        <w:gridCol w:w="2552"/>
        <w:gridCol w:w="1555"/>
        <w:gridCol w:w="1658"/>
        <w:gridCol w:w="1323"/>
        <w:gridCol w:w="2126"/>
      </w:tblGrid>
      <w:tr w:rsidR="00917616" w:rsidRPr="00786508" w:rsidTr="00E7415E">
        <w:tc>
          <w:tcPr>
            <w:tcW w:w="846" w:type="dxa"/>
          </w:tcPr>
          <w:p w:rsidR="00917616" w:rsidRPr="00786508" w:rsidRDefault="00917616" w:rsidP="00E7415E">
            <w:pPr>
              <w:spacing w:line="276" w:lineRule="auto"/>
              <w:rPr>
                <w:rFonts w:cs="Arial"/>
                <w:b/>
                <w:szCs w:val="24"/>
              </w:rPr>
            </w:pPr>
            <w:r w:rsidRPr="00786508">
              <w:rPr>
                <w:rFonts w:cs="Arial"/>
                <w:b/>
                <w:szCs w:val="24"/>
              </w:rPr>
              <w:t>Mera 2</w:t>
            </w:r>
          </w:p>
        </w:tc>
        <w:tc>
          <w:tcPr>
            <w:tcW w:w="14533" w:type="dxa"/>
            <w:gridSpan w:val="7"/>
          </w:tcPr>
          <w:p w:rsidR="00917616" w:rsidRPr="00786508" w:rsidRDefault="00917616" w:rsidP="00E7415E">
            <w:pPr>
              <w:spacing w:line="276" w:lineRule="auto"/>
              <w:rPr>
                <w:rFonts w:cs="Arial"/>
                <w:b/>
                <w:szCs w:val="24"/>
              </w:rPr>
            </w:pPr>
            <w:r w:rsidRPr="00786508">
              <w:rPr>
                <w:b/>
              </w:rPr>
              <w:t>Podrška zameni mazuta sa drvnom biomasom u gradskoj toplani kroz izradu odgovarajuće projektno-tehničke dokumentacije</w:t>
            </w:r>
          </w:p>
        </w:tc>
      </w:tr>
      <w:tr w:rsidR="00917616" w:rsidRPr="00786508" w:rsidTr="00E7415E">
        <w:tc>
          <w:tcPr>
            <w:tcW w:w="846" w:type="dxa"/>
          </w:tcPr>
          <w:p w:rsidR="00917616" w:rsidRPr="00786508" w:rsidRDefault="00917616" w:rsidP="00E7415E">
            <w:pPr>
              <w:spacing w:line="276" w:lineRule="auto"/>
              <w:rPr>
                <w:rFonts w:cs="Arial"/>
                <w:szCs w:val="24"/>
              </w:rPr>
            </w:pPr>
          </w:p>
        </w:tc>
        <w:tc>
          <w:tcPr>
            <w:tcW w:w="2626" w:type="dxa"/>
            <w:vAlign w:val="center"/>
          </w:tcPr>
          <w:p w:rsidR="00917616" w:rsidRPr="00786508" w:rsidRDefault="00917616" w:rsidP="00E7415E">
            <w:pPr>
              <w:spacing w:line="276" w:lineRule="auto"/>
              <w:jc w:val="left"/>
              <w:rPr>
                <w:rFonts w:cs="Arial"/>
                <w:b/>
                <w:szCs w:val="24"/>
              </w:rPr>
            </w:pPr>
            <w:r w:rsidRPr="00786508">
              <w:rPr>
                <w:rFonts w:cs="Arial"/>
                <w:b/>
                <w:szCs w:val="24"/>
              </w:rPr>
              <w:t>Aktivnost</w:t>
            </w:r>
          </w:p>
        </w:tc>
        <w:tc>
          <w:tcPr>
            <w:tcW w:w="2693" w:type="dxa"/>
            <w:vAlign w:val="center"/>
          </w:tcPr>
          <w:p w:rsidR="00917616" w:rsidRPr="00786508" w:rsidRDefault="00917616" w:rsidP="00E7415E">
            <w:pPr>
              <w:spacing w:line="276" w:lineRule="auto"/>
              <w:jc w:val="left"/>
              <w:rPr>
                <w:rFonts w:cs="Arial"/>
                <w:b/>
                <w:szCs w:val="24"/>
              </w:rPr>
            </w:pPr>
            <w:r w:rsidRPr="00786508">
              <w:rPr>
                <w:rFonts w:cs="Arial"/>
                <w:b/>
                <w:szCs w:val="24"/>
              </w:rPr>
              <w:t xml:space="preserve">Nosilac </w:t>
            </w:r>
          </w:p>
        </w:tc>
        <w:tc>
          <w:tcPr>
            <w:tcW w:w="2552" w:type="dxa"/>
            <w:vAlign w:val="center"/>
          </w:tcPr>
          <w:p w:rsidR="00917616" w:rsidRPr="00786508" w:rsidRDefault="00917616" w:rsidP="00E7415E">
            <w:pPr>
              <w:spacing w:line="276" w:lineRule="auto"/>
              <w:ind w:left="72"/>
              <w:jc w:val="left"/>
              <w:rPr>
                <w:rFonts w:cs="Arial"/>
                <w:b/>
                <w:szCs w:val="24"/>
              </w:rPr>
            </w:pPr>
            <w:r w:rsidRPr="00786508">
              <w:rPr>
                <w:rFonts w:cs="Arial"/>
                <w:b/>
                <w:szCs w:val="24"/>
              </w:rPr>
              <w:t>Cilj / Indikator</w:t>
            </w:r>
          </w:p>
        </w:tc>
        <w:tc>
          <w:tcPr>
            <w:tcW w:w="1555" w:type="dxa"/>
            <w:vAlign w:val="center"/>
          </w:tcPr>
          <w:p w:rsidR="00917616" w:rsidRPr="00786508" w:rsidRDefault="00917616" w:rsidP="00E7415E">
            <w:pPr>
              <w:spacing w:line="276" w:lineRule="auto"/>
              <w:jc w:val="left"/>
              <w:rPr>
                <w:rFonts w:cs="Arial"/>
                <w:b/>
                <w:szCs w:val="24"/>
              </w:rPr>
            </w:pPr>
            <w:r w:rsidRPr="00786508">
              <w:rPr>
                <w:rFonts w:cs="Arial"/>
                <w:b/>
                <w:szCs w:val="24"/>
              </w:rPr>
              <w:t>Period impleme-ntacije</w:t>
            </w:r>
          </w:p>
        </w:tc>
        <w:tc>
          <w:tcPr>
            <w:tcW w:w="1658" w:type="dxa"/>
            <w:vAlign w:val="center"/>
          </w:tcPr>
          <w:p w:rsidR="00917616" w:rsidRPr="00786508" w:rsidRDefault="00917616" w:rsidP="00E7415E">
            <w:pPr>
              <w:spacing w:line="276" w:lineRule="auto"/>
              <w:jc w:val="left"/>
              <w:rPr>
                <w:rFonts w:cs="Arial"/>
                <w:b/>
                <w:szCs w:val="24"/>
              </w:rPr>
            </w:pPr>
            <w:r w:rsidRPr="00786508">
              <w:rPr>
                <w:rFonts w:cs="Arial"/>
                <w:b/>
                <w:szCs w:val="24"/>
              </w:rPr>
              <w:t>Procena troškova (EUR)</w:t>
            </w:r>
          </w:p>
        </w:tc>
        <w:tc>
          <w:tcPr>
            <w:tcW w:w="1323" w:type="dxa"/>
            <w:vAlign w:val="center"/>
          </w:tcPr>
          <w:p w:rsidR="00917616" w:rsidRPr="00786508" w:rsidRDefault="00917616" w:rsidP="00E7415E">
            <w:pPr>
              <w:spacing w:line="276" w:lineRule="auto"/>
              <w:jc w:val="left"/>
              <w:rPr>
                <w:rFonts w:cs="Arial"/>
                <w:b/>
                <w:szCs w:val="24"/>
              </w:rPr>
            </w:pPr>
            <w:r w:rsidRPr="00786508">
              <w:rPr>
                <w:rFonts w:cs="Arial"/>
                <w:b/>
                <w:szCs w:val="24"/>
              </w:rPr>
              <w:t>Izvor finansiranja</w:t>
            </w:r>
          </w:p>
        </w:tc>
        <w:tc>
          <w:tcPr>
            <w:tcW w:w="2126" w:type="dxa"/>
            <w:vAlign w:val="center"/>
          </w:tcPr>
          <w:p w:rsidR="00917616" w:rsidRPr="00786508" w:rsidRDefault="00917616" w:rsidP="00E7415E">
            <w:pPr>
              <w:spacing w:line="276" w:lineRule="auto"/>
              <w:ind w:left="14"/>
              <w:jc w:val="left"/>
              <w:rPr>
                <w:rFonts w:cs="Arial"/>
                <w:b/>
                <w:szCs w:val="24"/>
              </w:rPr>
            </w:pPr>
            <w:r w:rsidRPr="00786508">
              <w:rPr>
                <w:rFonts w:cs="Arial"/>
                <w:b/>
                <w:szCs w:val="24"/>
              </w:rPr>
              <w:t>Način verifikacije</w:t>
            </w:r>
          </w:p>
        </w:tc>
      </w:tr>
      <w:tr w:rsidR="00917616" w:rsidRPr="00786508" w:rsidTr="00E7415E">
        <w:tc>
          <w:tcPr>
            <w:tcW w:w="846" w:type="dxa"/>
            <w:vAlign w:val="center"/>
          </w:tcPr>
          <w:p w:rsidR="00917616" w:rsidRPr="00786508" w:rsidRDefault="00917616" w:rsidP="00E7415E">
            <w:pPr>
              <w:spacing w:line="276" w:lineRule="auto"/>
              <w:jc w:val="left"/>
              <w:rPr>
                <w:rFonts w:cs="Arial"/>
                <w:szCs w:val="24"/>
              </w:rPr>
            </w:pPr>
            <w:r w:rsidRPr="00786508">
              <w:rPr>
                <w:rFonts w:cs="Arial"/>
                <w:szCs w:val="24"/>
              </w:rPr>
              <w:t>A 2.1</w:t>
            </w:r>
          </w:p>
        </w:tc>
        <w:tc>
          <w:tcPr>
            <w:tcW w:w="2626" w:type="dxa"/>
            <w:vAlign w:val="center"/>
          </w:tcPr>
          <w:p w:rsidR="00917616" w:rsidRPr="00786508" w:rsidRDefault="00917616" w:rsidP="00E7415E">
            <w:pPr>
              <w:spacing w:line="276" w:lineRule="auto"/>
              <w:jc w:val="left"/>
            </w:pPr>
            <w:r w:rsidRPr="00786508">
              <w:t>Definisanje lanca snabdevanja biomasom</w:t>
            </w:r>
          </w:p>
        </w:tc>
        <w:tc>
          <w:tcPr>
            <w:tcW w:w="2693" w:type="dxa"/>
            <w:vAlign w:val="center"/>
          </w:tcPr>
          <w:p w:rsidR="00917616" w:rsidRPr="00786508" w:rsidRDefault="00917616" w:rsidP="00E7415E">
            <w:pPr>
              <w:spacing w:line="276" w:lineRule="auto"/>
              <w:jc w:val="left"/>
              <w:rPr>
                <w:rFonts w:cs="Arial"/>
                <w:szCs w:val="24"/>
              </w:rPr>
            </w:pPr>
            <w:r w:rsidRPr="00786508">
              <w:rPr>
                <w:rFonts w:cs="Arial"/>
                <w:szCs w:val="24"/>
              </w:rPr>
              <w:t>Toplana/Energetski menadžer</w:t>
            </w:r>
          </w:p>
        </w:tc>
        <w:tc>
          <w:tcPr>
            <w:tcW w:w="2552" w:type="dxa"/>
            <w:vAlign w:val="center"/>
          </w:tcPr>
          <w:p w:rsidR="00917616" w:rsidRPr="00CE0ABC" w:rsidRDefault="00917616" w:rsidP="00E7415E">
            <w:pPr>
              <w:spacing w:line="276" w:lineRule="auto"/>
              <w:ind w:left="72"/>
              <w:jc w:val="left"/>
              <w:rPr>
                <w:rFonts w:cs="Arial"/>
                <w:szCs w:val="24"/>
                <w:lang w:val="it-IT"/>
              </w:rPr>
            </w:pPr>
            <w:r w:rsidRPr="00CE0ABC">
              <w:rPr>
                <w:rFonts w:cs="Arial"/>
                <w:szCs w:val="24"/>
                <w:lang w:val="it-IT"/>
              </w:rPr>
              <w:t>Definisani svi segmenti lanca snabdevanja biomasom i usaglašeni sa potencijalnim snabdevačima</w:t>
            </w:r>
          </w:p>
        </w:tc>
        <w:tc>
          <w:tcPr>
            <w:tcW w:w="1555" w:type="dxa"/>
            <w:vAlign w:val="center"/>
          </w:tcPr>
          <w:p w:rsidR="00917616" w:rsidRPr="00786508" w:rsidRDefault="00917616" w:rsidP="00E7415E">
            <w:pPr>
              <w:spacing w:line="276" w:lineRule="auto"/>
              <w:jc w:val="center"/>
              <w:rPr>
                <w:rFonts w:cs="Arial"/>
                <w:szCs w:val="24"/>
              </w:rPr>
            </w:pPr>
            <w:r>
              <w:rPr>
                <w:rFonts w:cs="Arial"/>
                <w:szCs w:val="24"/>
              </w:rPr>
              <w:t>2022</w:t>
            </w:r>
            <w:r w:rsidRPr="00786508">
              <w:rPr>
                <w:rFonts w:cs="Arial"/>
                <w:szCs w:val="24"/>
              </w:rPr>
              <w:t>.</w:t>
            </w:r>
          </w:p>
        </w:tc>
        <w:tc>
          <w:tcPr>
            <w:tcW w:w="1658" w:type="dxa"/>
            <w:vAlign w:val="center"/>
          </w:tcPr>
          <w:p w:rsidR="00917616" w:rsidRPr="00786508" w:rsidRDefault="00917616" w:rsidP="000735EC">
            <w:pPr>
              <w:spacing w:line="276" w:lineRule="auto"/>
              <w:jc w:val="center"/>
              <w:rPr>
                <w:rFonts w:cs="Arial"/>
                <w:szCs w:val="24"/>
              </w:rPr>
            </w:pPr>
          </w:p>
        </w:tc>
        <w:tc>
          <w:tcPr>
            <w:tcW w:w="1323" w:type="dxa"/>
          </w:tcPr>
          <w:p w:rsidR="00917616" w:rsidRPr="00786508" w:rsidRDefault="00917616" w:rsidP="00E7415E">
            <w:pPr>
              <w:spacing w:line="276" w:lineRule="auto"/>
              <w:rPr>
                <w:rFonts w:cs="Arial"/>
                <w:szCs w:val="24"/>
              </w:rPr>
            </w:pPr>
          </w:p>
        </w:tc>
        <w:tc>
          <w:tcPr>
            <w:tcW w:w="2126" w:type="dxa"/>
            <w:vAlign w:val="center"/>
          </w:tcPr>
          <w:p w:rsidR="00917616" w:rsidRPr="00786508" w:rsidRDefault="00917616" w:rsidP="00E7415E">
            <w:pPr>
              <w:spacing w:line="276" w:lineRule="auto"/>
              <w:jc w:val="left"/>
              <w:rPr>
                <w:rFonts w:cs="Arial"/>
                <w:szCs w:val="24"/>
              </w:rPr>
            </w:pPr>
            <w:r w:rsidRPr="00786508">
              <w:rPr>
                <w:rFonts w:cs="Arial"/>
                <w:szCs w:val="24"/>
              </w:rPr>
              <w:t>Izrađena studija</w:t>
            </w:r>
          </w:p>
        </w:tc>
      </w:tr>
      <w:tr w:rsidR="00917616" w:rsidRPr="00CE0ABC" w:rsidTr="00E7415E">
        <w:tc>
          <w:tcPr>
            <w:tcW w:w="846" w:type="dxa"/>
            <w:vAlign w:val="center"/>
          </w:tcPr>
          <w:p w:rsidR="00917616" w:rsidRPr="00786508" w:rsidRDefault="00917616" w:rsidP="00E7415E">
            <w:pPr>
              <w:spacing w:line="276" w:lineRule="auto"/>
              <w:jc w:val="left"/>
              <w:rPr>
                <w:rFonts w:cs="Arial"/>
                <w:szCs w:val="24"/>
              </w:rPr>
            </w:pPr>
            <w:r w:rsidRPr="00786508">
              <w:rPr>
                <w:rFonts w:cs="Arial"/>
                <w:szCs w:val="24"/>
              </w:rPr>
              <w:t>A 2.2</w:t>
            </w:r>
          </w:p>
          <w:p w:rsidR="00917616" w:rsidRPr="00786508" w:rsidRDefault="00917616" w:rsidP="00E7415E">
            <w:pPr>
              <w:spacing w:line="276" w:lineRule="auto"/>
              <w:jc w:val="left"/>
              <w:rPr>
                <w:rFonts w:cs="Arial"/>
                <w:szCs w:val="24"/>
              </w:rPr>
            </w:pPr>
          </w:p>
        </w:tc>
        <w:tc>
          <w:tcPr>
            <w:tcW w:w="2626" w:type="dxa"/>
            <w:vAlign w:val="center"/>
          </w:tcPr>
          <w:p w:rsidR="00917616" w:rsidRPr="00CE0ABC" w:rsidRDefault="00917616" w:rsidP="00E7415E">
            <w:pPr>
              <w:spacing w:line="276" w:lineRule="auto"/>
              <w:jc w:val="left"/>
              <w:rPr>
                <w:lang w:val="pl-PL"/>
              </w:rPr>
            </w:pPr>
            <w:r w:rsidRPr="00CE0ABC">
              <w:rPr>
                <w:lang w:val="pl-PL"/>
              </w:rPr>
              <w:t>Određivanje lokacije za skladište drvne biomase</w:t>
            </w:r>
          </w:p>
        </w:tc>
        <w:tc>
          <w:tcPr>
            <w:tcW w:w="2693" w:type="dxa"/>
            <w:vAlign w:val="center"/>
          </w:tcPr>
          <w:p w:rsidR="00917616" w:rsidRPr="00CE0ABC" w:rsidRDefault="00917616" w:rsidP="00E7415E">
            <w:pPr>
              <w:spacing w:line="276" w:lineRule="auto"/>
              <w:jc w:val="left"/>
              <w:rPr>
                <w:rFonts w:cs="Arial"/>
                <w:szCs w:val="24"/>
                <w:lang w:val="pl-PL"/>
              </w:rPr>
            </w:pPr>
            <w:r w:rsidRPr="00CE0ABC">
              <w:rPr>
                <w:rFonts w:cs="Arial"/>
                <w:szCs w:val="24"/>
                <w:lang w:val="pl-PL"/>
              </w:rPr>
              <w:t>Rukovodstvo toplane/Energetski menadžer/Gradonačelnik/Katastar</w:t>
            </w:r>
          </w:p>
        </w:tc>
        <w:tc>
          <w:tcPr>
            <w:tcW w:w="2552" w:type="dxa"/>
            <w:vAlign w:val="center"/>
          </w:tcPr>
          <w:p w:rsidR="00917616" w:rsidRPr="00786508" w:rsidRDefault="00917616" w:rsidP="00E7415E">
            <w:pPr>
              <w:spacing w:line="276" w:lineRule="auto"/>
              <w:ind w:left="72"/>
              <w:jc w:val="left"/>
              <w:rPr>
                <w:rFonts w:cs="Arial"/>
                <w:szCs w:val="24"/>
              </w:rPr>
            </w:pPr>
            <w:r w:rsidRPr="00786508">
              <w:rPr>
                <w:rFonts w:cs="Arial"/>
                <w:szCs w:val="24"/>
              </w:rPr>
              <w:t>Određena lokacija</w:t>
            </w:r>
          </w:p>
        </w:tc>
        <w:tc>
          <w:tcPr>
            <w:tcW w:w="1555" w:type="dxa"/>
            <w:vAlign w:val="center"/>
          </w:tcPr>
          <w:p w:rsidR="00917616" w:rsidRPr="00786508" w:rsidRDefault="00917616" w:rsidP="00E7415E">
            <w:pPr>
              <w:spacing w:line="276" w:lineRule="auto"/>
              <w:jc w:val="center"/>
              <w:rPr>
                <w:rFonts w:cs="Arial"/>
                <w:szCs w:val="24"/>
              </w:rPr>
            </w:pPr>
            <w:r>
              <w:rPr>
                <w:rFonts w:cs="Arial"/>
                <w:szCs w:val="24"/>
              </w:rPr>
              <w:t>2022</w:t>
            </w:r>
            <w:r w:rsidRPr="00786508">
              <w:rPr>
                <w:rFonts w:cs="Arial"/>
                <w:szCs w:val="24"/>
              </w:rPr>
              <w:t>.</w:t>
            </w:r>
          </w:p>
        </w:tc>
        <w:tc>
          <w:tcPr>
            <w:tcW w:w="1658" w:type="dxa"/>
            <w:vAlign w:val="center"/>
          </w:tcPr>
          <w:p w:rsidR="00917616" w:rsidRPr="00786508" w:rsidRDefault="00917616" w:rsidP="000735EC">
            <w:pPr>
              <w:spacing w:line="276" w:lineRule="auto"/>
              <w:jc w:val="center"/>
              <w:rPr>
                <w:rFonts w:cs="Arial"/>
                <w:szCs w:val="24"/>
              </w:rPr>
            </w:pPr>
            <w:r w:rsidRPr="00786508">
              <w:rPr>
                <w:rFonts w:cs="Arial"/>
                <w:szCs w:val="24"/>
              </w:rPr>
              <w:t>-</w:t>
            </w:r>
          </w:p>
        </w:tc>
        <w:tc>
          <w:tcPr>
            <w:tcW w:w="1323" w:type="dxa"/>
          </w:tcPr>
          <w:p w:rsidR="00917616" w:rsidRPr="00786508" w:rsidRDefault="00917616" w:rsidP="00E7415E">
            <w:pPr>
              <w:spacing w:line="276" w:lineRule="auto"/>
              <w:rPr>
                <w:rFonts w:cs="Arial"/>
                <w:szCs w:val="24"/>
              </w:rPr>
            </w:pPr>
          </w:p>
        </w:tc>
        <w:tc>
          <w:tcPr>
            <w:tcW w:w="2126" w:type="dxa"/>
            <w:vAlign w:val="center"/>
          </w:tcPr>
          <w:p w:rsidR="00917616" w:rsidRPr="00CE0ABC" w:rsidRDefault="00917616" w:rsidP="00E7415E">
            <w:pPr>
              <w:spacing w:line="276" w:lineRule="auto"/>
              <w:jc w:val="left"/>
              <w:rPr>
                <w:rFonts w:cs="Arial"/>
                <w:szCs w:val="24"/>
                <w:lang w:val="pl-PL"/>
              </w:rPr>
            </w:pPr>
            <w:r w:rsidRPr="00CE0ABC">
              <w:rPr>
                <w:rFonts w:cs="Arial"/>
                <w:szCs w:val="24"/>
                <w:lang w:val="pl-PL"/>
              </w:rPr>
              <w:t>Određena lokacija. Dobijena saglasnost. Informacija objavljena na web sajtu opštine.</w:t>
            </w:r>
          </w:p>
        </w:tc>
      </w:tr>
      <w:tr w:rsidR="00917616" w:rsidRPr="00CE0ABC" w:rsidTr="00E7415E">
        <w:tc>
          <w:tcPr>
            <w:tcW w:w="846" w:type="dxa"/>
            <w:vAlign w:val="center"/>
          </w:tcPr>
          <w:p w:rsidR="00917616" w:rsidRPr="00786508" w:rsidRDefault="00917616" w:rsidP="00E7415E">
            <w:pPr>
              <w:spacing w:line="276" w:lineRule="auto"/>
              <w:jc w:val="left"/>
              <w:rPr>
                <w:rFonts w:cs="Arial"/>
                <w:szCs w:val="24"/>
              </w:rPr>
            </w:pPr>
            <w:r w:rsidRPr="00786508">
              <w:rPr>
                <w:rFonts w:cs="Arial"/>
                <w:szCs w:val="24"/>
              </w:rPr>
              <w:t>A 2.3</w:t>
            </w:r>
          </w:p>
        </w:tc>
        <w:tc>
          <w:tcPr>
            <w:tcW w:w="2626" w:type="dxa"/>
            <w:vAlign w:val="center"/>
          </w:tcPr>
          <w:p w:rsidR="00917616" w:rsidRPr="00CE0ABC" w:rsidRDefault="00917616" w:rsidP="00E7415E">
            <w:pPr>
              <w:spacing w:line="276" w:lineRule="auto"/>
              <w:jc w:val="left"/>
              <w:rPr>
                <w:lang w:val="pl-PL"/>
              </w:rPr>
            </w:pPr>
            <w:r w:rsidRPr="00CE0ABC">
              <w:rPr>
                <w:lang w:val="pl-PL"/>
              </w:rPr>
              <w:t>Izrada potrebne projektno-tehničke dokumentacije za zamenu postojećih kotlova  i instalacija na mazut sa kotlovima i instalacijama na biomasu</w:t>
            </w:r>
          </w:p>
        </w:tc>
        <w:tc>
          <w:tcPr>
            <w:tcW w:w="2693" w:type="dxa"/>
            <w:vAlign w:val="center"/>
          </w:tcPr>
          <w:p w:rsidR="00917616" w:rsidRPr="00786508" w:rsidRDefault="00917616" w:rsidP="00E7415E">
            <w:pPr>
              <w:spacing w:line="276" w:lineRule="auto"/>
              <w:jc w:val="left"/>
              <w:rPr>
                <w:rFonts w:cs="Arial"/>
                <w:szCs w:val="24"/>
              </w:rPr>
            </w:pPr>
            <w:r w:rsidRPr="00786508">
              <w:rPr>
                <w:rFonts w:cs="Arial"/>
                <w:szCs w:val="24"/>
              </w:rPr>
              <w:t>Toplana</w:t>
            </w:r>
          </w:p>
        </w:tc>
        <w:tc>
          <w:tcPr>
            <w:tcW w:w="2552" w:type="dxa"/>
            <w:vAlign w:val="center"/>
          </w:tcPr>
          <w:p w:rsidR="00917616" w:rsidRPr="00786508" w:rsidRDefault="00917616" w:rsidP="00E7415E">
            <w:pPr>
              <w:spacing w:line="276" w:lineRule="auto"/>
              <w:ind w:left="72"/>
              <w:jc w:val="left"/>
              <w:rPr>
                <w:rFonts w:cs="Arial"/>
                <w:szCs w:val="24"/>
              </w:rPr>
            </w:pPr>
            <w:r w:rsidRPr="00786508">
              <w:rPr>
                <w:rFonts w:cs="Arial"/>
                <w:szCs w:val="24"/>
              </w:rPr>
              <w:t>Izrađena potrebna projektna dokumentacija</w:t>
            </w:r>
          </w:p>
        </w:tc>
        <w:tc>
          <w:tcPr>
            <w:tcW w:w="1555" w:type="dxa"/>
            <w:vAlign w:val="center"/>
          </w:tcPr>
          <w:p w:rsidR="00917616" w:rsidRPr="00786508" w:rsidRDefault="00917616" w:rsidP="00E7415E">
            <w:pPr>
              <w:spacing w:line="276" w:lineRule="auto"/>
              <w:jc w:val="center"/>
              <w:rPr>
                <w:rFonts w:cs="Arial"/>
                <w:szCs w:val="24"/>
              </w:rPr>
            </w:pPr>
            <w:r>
              <w:rPr>
                <w:rFonts w:cs="Arial"/>
                <w:szCs w:val="24"/>
              </w:rPr>
              <w:t>2022-2024</w:t>
            </w:r>
            <w:r w:rsidRPr="00786508">
              <w:rPr>
                <w:rFonts w:cs="Arial"/>
                <w:szCs w:val="24"/>
              </w:rPr>
              <w:t>.</w:t>
            </w:r>
          </w:p>
        </w:tc>
        <w:tc>
          <w:tcPr>
            <w:tcW w:w="1658" w:type="dxa"/>
            <w:vAlign w:val="center"/>
          </w:tcPr>
          <w:p w:rsidR="00917616" w:rsidRPr="00786508" w:rsidRDefault="00917616" w:rsidP="000735EC">
            <w:pPr>
              <w:spacing w:line="276" w:lineRule="auto"/>
              <w:jc w:val="center"/>
              <w:rPr>
                <w:rFonts w:cs="Arial"/>
                <w:szCs w:val="24"/>
              </w:rPr>
            </w:pPr>
            <w:r w:rsidRPr="00786508">
              <w:rPr>
                <w:rFonts w:cs="Arial"/>
                <w:szCs w:val="24"/>
              </w:rPr>
              <w:t>1.200.000</w:t>
            </w:r>
          </w:p>
        </w:tc>
        <w:tc>
          <w:tcPr>
            <w:tcW w:w="1323" w:type="dxa"/>
          </w:tcPr>
          <w:p w:rsidR="00917616" w:rsidRPr="00786508" w:rsidRDefault="00917616" w:rsidP="00E7415E">
            <w:pPr>
              <w:spacing w:line="276" w:lineRule="auto"/>
              <w:rPr>
                <w:rFonts w:cs="Arial"/>
                <w:szCs w:val="24"/>
              </w:rPr>
            </w:pPr>
          </w:p>
        </w:tc>
        <w:tc>
          <w:tcPr>
            <w:tcW w:w="2126" w:type="dxa"/>
            <w:vAlign w:val="center"/>
          </w:tcPr>
          <w:p w:rsidR="00917616" w:rsidRPr="00CE0ABC" w:rsidRDefault="00917616" w:rsidP="00E7415E">
            <w:pPr>
              <w:spacing w:line="276" w:lineRule="auto"/>
              <w:jc w:val="left"/>
              <w:rPr>
                <w:rFonts w:cs="Arial"/>
                <w:szCs w:val="24"/>
                <w:lang w:val="pl-PL"/>
              </w:rPr>
            </w:pPr>
            <w:r w:rsidRPr="00CE0ABC">
              <w:rPr>
                <w:rFonts w:cs="Arial"/>
                <w:szCs w:val="24"/>
                <w:lang w:val="pl-PL"/>
              </w:rPr>
              <w:t>Izrađena i odobrena projektna dokumentacija</w:t>
            </w:r>
          </w:p>
        </w:tc>
      </w:tr>
      <w:tr w:rsidR="00917616" w:rsidRPr="00786508" w:rsidTr="00E7415E">
        <w:tc>
          <w:tcPr>
            <w:tcW w:w="846" w:type="dxa"/>
            <w:vAlign w:val="center"/>
          </w:tcPr>
          <w:p w:rsidR="00917616" w:rsidRPr="00786508" w:rsidRDefault="00917616" w:rsidP="00E7415E">
            <w:pPr>
              <w:spacing w:line="276" w:lineRule="auto"/>
              <w:jc w:val="left"/>
              <w:rPr>
                <w:rFonts w:cs="Arial"/>
                <w:szCs w:val="24"/>
              </w:rPr>
            </w:pPr>
            <w:r w:rsidRPr="00786508">
              <w:rPr>
                <w:rFonts w:cs="Arial"/>
                <w:szCs w:val="24"/>
              </w:rPr>
              <w:t>A.2.4</w:t>
            </w:r>
          </w:p>
        </w:tc>
        <w:tc>
          <w:tcPr>
            <w:tcW w:w="2626" w:type="dxa"/>
            <w:vAlign w:val="center"/>
          </w:tcPr>
          <w:p w:rsidR="00917616" w:rsidRPr="00786508" w:rsidRDefault="00917616" w:rsidP="00E7415E">
            <w:pPr>
              <w:spacing w:line="276" w:lineRule="auto"/>
              <w:jc w:val="left"/>
            </w:pPr>
            <w:r w:rsidRPr="00786508">
              <w:t>Dobijanje saglasnosti, dozvola i odobrenja</w:t>
            </w:r>
          </w:p>
        </w:tc>
        <w:tc>
          <w:tcPr>
            <w:tcW w:w="2693" w:type="dxa"/>
            <w:vAlign w:val="center"/>
          </w:tcPr>
          <w:p w:rsidR="00917616" w:rsidRPr="00786508" w:rsidRDefault="00917616" w:rsidP="00E7415E">
            <w:pPr>
              <w:spacing w:line="276" w:lineRule="auto"/>
              <w:jc w:val="left"/>
              <w:rPr>
                <w:rFonts w:cs="Arial"/>
                <w:szCs w:val="24"/>
              </w:rPr>
            </w:pPr>
            <w:r w:rsidRPr="00786508">
              <w:rPr>
                <w:rFonts w:cs="Arial"/>
                <w:szCs w:val="24"/>
              </w:rPr>
              <w:t>Toplana/ Energetski menadžer</w:t>
            </w:r>
          </w:p>
        </w:tc>
        <w:tc>
          <w:tcPr>
            <w:tcW w:w="2552" w:type="dxa"/>
            <w:vAlign w:val="center"/>
          </w:tcPr>
          <w:p w:rsidR="00917616" w:rsidRPr="00CE0ABC" w:rsidRDefault="00917616" w:rsidP="00E7415E">
            <w:pPr>
              <w:spacing w:line="276" w:lineRule="auto"/>
              <w:ind w:left="72"/>
              <w:jc w:val="left"/>
              <w:rPr>
                <w:rFonts w:cs="Arial"/>
                <w:szCs w:val="24"/>
                <w:lang w:val="it-IT"/>
              </w:rPr>
            </w:pPr>
            <w:r w:rsidRPr="00CE0ABC">
              <w:rPr>
                <w:rFonts w:cs="Arial"/>
                <w:szCs w:val="24"/>
                <w:lang w:val="it-IT"/>
              </w:rPr>
              <w:t>Dobijene sve potrbne dozvole i saglasnosti</w:t>
            </w:r>
          </w:p>
        </w:tc>
        <w:tc>
          <w:tcPr>
            <w:tcW w:w="1555" w:type="dxa"/>
            <w:vAlign w:val="center"/>
          </w:tcPr>
          <w:p w:rsidR="00917616" w:rsidRPr="00786508" w:rsidRDefault="00917616" w:rsidP="00E7415E">
            <w:pPr>
              <w:spacing w:line="276" w:lineRule="auto"/>
              <w:jc w:val="center"/>
              <w:rPr>
                <w:rFonts w:cs="Arial"/>
                <w:szCs w:val="24"/>
              </w:rPr>
            </w:pPr>
            <w:r>
              <w:rPr>
                <w:rFonts w:cs="Arial"/>
                <w:szCs w:val="24"/>
              </w:rPr>
              <w:t>2022</w:t>
            </w:r>
            <w:r w:rsidRPr="00786508">
              <w:rPr>
                <w:rFonts w:cs="Arial"/>
                <w:szCs w:val="24"/>
              </w:rPr>
              <w:t>.</w:t>
            </w:r>
          </w:p>
        </w:tc>
        <w:tc>
          <w:tcPr>
            <w:tcW w:w="1658" w:type="dxa"/>
            <w:vAlign w:val="center"/>
          </w:tcPr>
          <w:p w:rsidR="00917616" w:rsidRPr="00786508" w:rsidRDefault="00917616" w:rsidP="000735EC">
            <w:pPr>
              <w:spacing w:line="276" w:lineRule="auto"/>
              <w:jc w:val="center"/>
              <w:rPr>
                <w:rFonts w:cs="Arial"/>
                <w:szCs w:val="24"/>
              </w:rPr>
            </w:pPr>
            <w:r w:rsidRPr="00786508">
              <w:rPr>
                <w:rFonts w:cs="Arial"/>
                <w:szCs w:val="24"/>
              </w:rPr>
              <w:t>-</w:t>
            </w:r>
          </w:p>
        </w:tc>
        <w:tc>
          <w:tcPr>
            <w:tcW w:w="1323" w:type="dxa"/>
          </w:tcPr>
          <w:p w:rsidR="00917616" w:rsidRPr="00786508" w:rsidRDefault="00917616" w:rsidP="00E7415E">
            <w:pPr>
              <w:spacing w:line="276" w:lineRule="auto"/>
              <w:rPr>
                <w:rFonts w:cs="Arial"/>
                <w:szCs w:val="24"/>
              </w:rPr>
            </w:pPr>
          </w:p>
        </w:tc>
        <w:tc>
          <w:tcPr>
            <w:tcW w:w="2126" w:type="dxa"/>
            <w:vAlign w:val="center"/>
          </w:tcPr>
          <w:p w:rsidR="00917616" w:rsidRPr="00786508" w:rsidRDefault="00917616" w:rsidP="00E7415E">
            <w:pPr>
              <w:spacing w:line="276" w:lineRule="auto"/>
              <w:jc w:val="left"/>
              <w:rPr>
                <w:rFonts w:cs="Arial"/>
                <w:szCs w:val="24"/>
              </w:rPr>
            </w:pPr>
            <w:r w:rsidRPr="00786508">
              <w:rPr>
                <w:rFonts w:cs="Arial"/>
                <w:szCs w:val="24"/>
              </w:rPr>
              <w:t>Dobijene sagalsnosti i dozvole</w:t>
            </w:r>
          </w:p>
        </w:tc>
      </w:tr>
      <w:tr w:rsidR="00917616" w:rsidRPr="00786508" w:rsidTr="00E7415E">
        <w:tc>
          <w:tcPr>
            <w:tcW w:w="846" w:type="dxa"/>
          </w:tcPr>
          <w:p w:rsidR="00917616" w:rsidRPr="00786508" w:rsidRDefault="00917616" w:rsidP="00E7415E">
            <w:pPr>
              <w:spacing w:line="276" w:lineRule="auto"/>
              <w:rPr>
                <w:rFonts w:cs="Arial"/>
                <w:szCs w:val="24"/>
              </w:rPr>
            </w:pPr>
          </w:p>
        </w:tc>
        <w:tc>
          <w:tcPr>
            <w:tcW w:w="2626" w:type="dxa"/>
            <w:vAlign w:val="center"/>
          </w:tcPr>
          <w:p w:rsidR="00917616" w:rsidRPr="00786508" w:rsidRDefault="00917616" w:rsidP="00E7415E">
            <w:pPr>
              <w:spacing w:line="276" w:lineRule="auto"/>
              <w:jc w:val="left"/>
              <w:rPr>
                <w:rFonts w:cs="Arial"/>
                <w:b/>
                <w:szCs w:val="24"/>
              </w:rPr>
            </w:pPr>
            <w:r w:rsidRPr="00786508">
              <w:rPr>
                <w:rFonts w:cs="Arial"/>
                <w:b/>
                <w:szCs w:val="24"/>
              </w:rPr>
              <w:t>Zbirno za M2:</w:t>
            </w:r>
          </w:p>
        </w:tc>
        <w:tc>
          <w:tcPr>
            <w:tcW w:w="11907" w:type="dxa"/>
            <w:gridSpan w:val="6"/>
          </w:tcPr>
          <w:p w:rsidR="00917616" w:rsidRPr="00786508" w:rsidRDefault="00917616" w:rsidP="00E7415E">
            <w:pPr>
              <w:spacing w:line="276" w:lineRule="auto"/>
              <w:rPr>
                <w:rFonts w:cs="Arial"/>
                <w:szCs w:val="24"/>
              </w:rPr>
            </w:pPr>
            <w:r w:rsidRPr="00CE0ABC">
              <w:rPr>
                <w:i/>
                <w:lang w:val="pl-PL"/>
              </w:rPr>
              <w:t xml:space="preserve">Izrađena projektno-tehnička dokumentacija za zamenu mazuta sa drvnom biomasom u postojećoj gradskoj toplani. </w:t>
            </w:r>
            <w:r w:rsidRPr="00786508">
              <w:rPr>
                <w:i/>
              </w:rPr>
              <w:t>Definisan lanac snabdevanja biomasom.</w:t>
            </w:r>
          </w:p>
        </w:tc>
      </w:tr>
    </w:tbl>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Default="00917616" w:rsidP="00E7415E">
      <w:pPr>
        <w:overflowPunct/>
        <w:autoSpaceDE/>
        <w:autoSpaceDN/>
        <w:adjustRightInd/>
        <w:spacing w:line="276" w:lineRule="auto"/>
        <w:textAlignment w:val="auto"/>
      </w:pPr>
    </w:p>
    <w:p w:rsidR="00917616" w:rsidRPr="000345E1" w:rsidRDefault="00917616" w:rsidP="00E7415E">
      <w:pPr>
        <w:overflowPunct/>
        <w:autoSpaceDE/>
        <w:autoSpaceDN/>
        <w:adjustRightInd/>
        <w:spacing w:line="276" w:lineRule="auto"/>
        <w:textAlignment w:val="auto"/>
      </w:pPr>
    </w:p>
    <w:p w:rsidR="00917616" w:rsidRPr="000345E1" w:rsidRDefault="00917616" w:rsidP="00E7415E">
      <w:pPr>
        <w:overflowPunct/>
        <w:autoSpaceDE/>
        <w:autoSpaceDN/>
        <w:adjustRightInd/>
        <w:spacing w:line="276" w:lineRule="auto"/>
        <w:textAlignment w:val="auto"/>
      </w:pP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6"/>
        <w:gridCol w:w="2626"/>
        <w:gridCol w:w="2552"/>
        <w:gridCol w:w="1768"/>
        <w:gridCol w:w="1559"/>
        <w:gridCol w:w="1276"/>
        <w:gridCol w:w="1417"/>
        <w:gridCol w:w="3477"/>
      </w:tblGrid>
      <w:tr w:rsidR="00917616" w:rsidRPr="00786508" w:rsidTr="00E7415E">
        <w:tc>
          <w:tcPr>
            <w:tcW w:w="846" w:type="dxa"/>
          </w:tcPr>
          <w:p w:rsidR="00917616" w:rsidRPr="00786508" w:rsidRDefault="00917616" w:rsidP="00E7415E">
            <w:pPr>
              <w:spacing w:line="276" w:lineRule="auto"/>
              <w:rPr>
                <w:rFonts w:cs="Arial"/>
                <w:b/>
                <w:szCs w:val="24"/>
              </w:rPr>
            </w:pPr>
            <w:r w:rsidRPr="00786508">
              <w:rPr>
                <w:rFonts w:cs="Arial"/>
                <w:b/>
                <w:szCs w:val="24"/>
              </w:rPr>
              <w:t>Mera 3</w:t>
            </w:r>
          </w:p>
        </w:tc>
        <w:tc>
          <w:tcPr>
            <w:tcW w:w="14675" w:type="dxa"/>
            <w:gridSpan w:val="7"/>
          </w:tcPr>
          <w:p w:rsidR="00917616" w:rsidRPr="00786508" w:rsidRDefault="00917616" w:rsidP="00E7415E">
            <w:pPr>
              <w:spacing w:line="276" w:lineRule="auto"/>
              <w:rPr>
                <w:rFonts w:cs="Arial"/>
                <w:b/>
                <w:szCs w:val="24"/>
              </w:rPr>
            </w:pPr>
            <w:r w:rsidRPr="00786508">
              <w:rPr>
                <w:b/>
              </w:rPr>
              <w:t>Edukativna kampanja o pravilnom i efikasnom korišćenju ogrevnog drveta u domaćinstvima</w:t>
            </w:r>
          </w:p>
        </w:tc>
      </w:tr>
      <w:tr w:rsidR="00917616" w:rsidRPr="00786508" w:rsidTr="00E7415E">
        <w:tc>
          <w:tcPr>
            <w:tcW w:w="846" w:type="dxa"/>
          </w:tcPr>
          <w:p w:rsidR="00917616" w:rsidRPr="00786508" w:rsidRDefault="00917616" w:rsidP="00E7415E">
            <w:pPr>
              <w:spacing w:line="276" w:lineRule="auto"/>
              <w:rPr>
                <w:rFonts w:cs="Arial"/>
                <w:szCs w:val="24"/>
              </w:rPr>
            </w:pPr>
          </w:p>
        </w:tc>
        <w:tc>
          <w:tcPr>
            <w:tcW w:w="2626" w:type="dxa"/>
            <w:vAlign w:val="center"/>
          </w:tcPr>
          <w:p w:rsidR="00917616" w:rsidRPr="00786508" w:rsidRDefault="00917616" w:rsidP="00E7415E">
            <w:pPr>
              <w:spacing w:line="276" w:lineRule="auto"/>
              <w:jc w:val="left"/>
              <w:rPr>
                <w:rFonts w:cs="Arial"/>
                <w:b/>
                <w:szCs w:val="24"/>
              </w:rPr>
            </w:pPr>
            <w:r w:rsidRPr="00786508">
              <w:rPr>
                <w:rFonts w:cs="Arial"/>
                <w:b/>
                <w:szCs w:val="24"/>
              </w:rPr>
              <w:t>Aktivnost</w:t>
            </w:r>
          </w:p>
        </w:tc>
        <w:tc>
          <w:tcPr>
            <w:tcW w:w="2552" w:type="dxa"/>
            <w:vAlign w:val="center"/>
          </w:tcPr>
          <w:p w:rsidR="00917616" w:rsidRPr="00786508" w:rsidRDefault="00917616" w:rsidP="00E7415E">
            <w:pPr>
              <w:spacing w:line="276" w:lineRule="auto"/>
              <w:jc w:val="left"/>
              <w:rPr>
                <w:rFonts w:cs="Arial"/>
                <w:b/>
                <w:szCs w:val="24"/>
              </w:rPr>
            </w:pPr>
            <w:r w:rsidRPr="00786508">
              <w:rPr>
                <w:rFonts w:cs="Arial"/>
                <w:b/>
                <w:szCs w:val="24"/>
              </w:rPr>
              <w:t xml:space="preserve">Nosilac </w:t>
            </w:r>
          </w:p>
        </w:tc>
        <w:tc>
          <w:tcPr>
            <w:tcW w:w="1768" w:type="dxa"/>
            <w:vAlign w:val="center"/>
          </w:tcPr>
          <w:p w:rsidR="00917616" w:rsidRPr="00786508" w:rsidRDefault="00917616" w:rsidP="00E7415E">
            <w:pPr>
              <w:spacing w:line="276" w:lineRule="auto"/>
              <w:ind w:left="72"/>
              <w:jc w:val="left"/>
              <w:rPr>
                <w:rFonts w:cs="Arial"/>
                <w:b/>
                <w:szCs w:val="24"/>
              </w:rPr>
            </w:pPr>
            <w:r w:rsidRPr="00786508">
              <w:rPr>
                <w:rFonts w:cs="Arial"/>
                <w:b/>
                <w:szCs w:val="24"/>
              </w:rPr>
              <w:t>Cilj / Indikator</w:t>
            </w:r>
          </w:p>
        </w:tc>
        <w:tc>
          <w:tcPr>
            <w:tcW w:w="1559" w:type="dxa"/>
            <w:vAlign w:val="center"/>
          </w:tcPr>
          <w:p w:rsidR="00917616" w:rsidRPr="00786508" w:rsidRDefault="00917616" w:rsidP="00E7415E">
            <w:pPr>
              <w:spacing w:line="276" w:lineRule="auto"/>
              <w:jc w:val="left"/>
              <w:rPr>
                <w:rFonts w:cs="Arial"/>
                <w:b/>
                <w:szCs w:val="24"/>
              </w:rPr>
            </w:pPr>
            <w:r w:rsidRPr="00786508">
              <w:rPr>
                <w:rFonts w:cs="Arial"/>
                <w:b/>
                <w:szCs w:val="24"/>
              </w:rPr>
              <w:t>Period impleme-ntacije</w:t>
            </w:r>
          </w:p>
        </w:tc>
        <w:tc>
          <w:tcPr>
            <w:tcW w:w="1276" w:type="dxa"/>
            <w:vAlign w:val="center"/>
          </w:tcPr>
          <w:p w:rsidR="00917616" w:rsidRPr="00786508" w:rsidRDefault="00917616" w:rsidP="00E7415E">
            <w:pPr>
              <w:spacing w:line="276" w:lineRule="auto"/>
              <w:jc w:val="left"/>
              <w:rPr>
                <w:rFonts w:cs="Arial"/>
                <w:b/>
                <w:szCs w:val="24"/>
              </w:rPr>
            </w:pPr>
            <w:r w:rsidRPr="00786508">
              <w:rPr>
                <w:rFonts w:cs="Arial"/>
                <w:b/>
                <w:szCs w:val="24"/>
              </w:rPr>
              <w:t>Procena troškova (RSD)</w:t>
            </w:r>
          </w:p>
        </w:tc>
        <w:tc>
          <w:tcPr>
            <w:tcW w:w="1417" w:type="dxa"/>
            <w:vAlign w:val="center"/>
          </w:tcPr>
          <w:p w:rsidR="00917616" w:rsidRPr="00786508" w:rsidRDefault="00917616" w:rsidP="00E7415E">
            <w:pPr>
              <w:spacing w:line="276" w:lineRule="auto"/>
              <w:jc w:val="left"/>
              <w:rPr>
                <w:rFonts w:cs="Arial"/>
                <w:b/>
                <w:szCs w:val="24"/>
              </w:rPr>
            </w:pPr>
            <w:r w:rsidRPr="00786508">
              <w:rPr>
                <w:rFonts w:cs="Arial"/>
                <w:b/>
                <w:szCs w:val="24"/>
              </w:rPr>
              <w:t>Izvor finansiranja</w:t>
            </w:r>
          </w:p>
        </w:tc>
        <w:tc>
          <w:tcPr>
            <w:tcW w:w="3477" w:type="dxa"/>
            <w:vAlign w:val="center"/>
          </w:tcPr>
          <w:p w:rsidR="00917616" w:rsidRPr="00786508" w:rsidRDefault="00917616" w:rsidP="00E7415E">
            <w:pPr>
              <w:spacing w:line="276" w:lineRule="auto"/>
              <w:ind w:left="14"/>
              <w:jc w:val="left"/>
              <w:rPr>
                <w:rFonts w:cs="Arial"/>
                <w:b/>
                <w:szCs w:val="24"/>
              </w:rPr>
            </w:pPr>
            <w:r w:rsidRPr="00786508">
              <w:rPr>
                <w:rFonts w:cs="Arial"/>
                <w:b/>
                <w:szCs w:val="24"/>
              </w:rPr>
              <w:t>Način verifikacije</w:t>
            </w:r>
          </w:p>
        </w:tc>
      </w:tr>
      <w:tr w:rsidR="00917616" w:rsidRPr="00CE0ABC" w:rsidTr="00E7415E">
        <w:tc>
          <w:tcPr>
            <w:tcW w:w="846" w:type="dxa"/>
          </w:tcPr>
          <w:p w:rsidR="00917616" w:rsidRPr="00786508" w:rsidRDefault="00917616" w:rsidP="00E7415E">
            <w:pPr>
              <w:spacing w:line="276" w:lineRule="auto"/>
              <w:rPr>
                <w:rFonts w:cs="Arial"/>
                <w:szCs w:val="24"/>
              </w:rPr>
            </w:pPr>
            <w:r w:rsidRPr="00786508">
              <w:rPr>
                <w:rFonts w:cs="Arial"/>
                <w:szCs w:val="24"/>
              </w:rPr>
              <w:t>A 3.1</w:t>
            </w:r>
          </w:p>
        </w:tc>
        <w:tc>
          <w:tcPr>
            <w:tcW w:w="2626" w:type="dxa"/>
            <w:vAlign w:val="center"/>
          </w:tcPr>
          <w:p w:rsidR="00917616" w:rsidRPr="00786508" w:rsidRDefault="00917616" w:rsidP="00E7415E">
            <w:pPr>
              <w:tabs>
                <w:tab w:val="left" w:pos="1928"/>
                <w:tab w:val="left" w:pos="2211"/>
              </w:tabs>
              <w:spacing w:line="276" w:lineRule="auto"/>
              <w:jc w:val="left"/>
            </w:pPr>
            <w:r w:rsidRPr="00786508">
              <w:t>Definisanje Programa za povećanje efikasnosti korišćenja ogrevnog drveta u domaćinstvima u opštini Petrovac na Mlavi</w:t>
            </w:r>
          </w:p>
        </w:tc>
        <w:tc>
          <w:tcPr>
            <w:tcW w:w="2552" w:type="dxa"/>
            <w:vAlign w:val="center"/>
          </w:tcPr>
          <w:p w:rsidR="00917616" w:rsidRPr="00786508" w:rsidRDefault="00917616" w:rsidP="00E7415E">
            <w:pPr>
              <w:spacing w:line="276" w:lineRule="auto"/>
              <w:jc w:val="left"/>
              <w:rPr>
                <w:rFonts w:cs="Arial"/>
                <w:szCs w:val="24"/>
              </w:rPr>
            </w:pPr>
            <w:r w:rsidRPr="00786508">
              <w:rPr>
                <w:rFonts w:cs="Arial"/>
                <w:szCs w:val="24"/>
              </w:rPr>
              <w:t>Energetski menadžer/opštinska uprava/angažovani eksperti/domaće i međunarodne  institucije i organizacije</w:t>
            </w:r>
          </w:p>
        </w:tc>
        <w:tc>
          <w:tcPr>
            <w:tcW w:w="1768" w:type="dxa"/>
            <w:vAlign w:val="center"/>
          </w:tcPr>
          <w:p w:rsidR="00917616" w:rsidRPr="00786508" w:rsidRDefault="00917616" w:rsidP="00E7415E">
            <w:pPr>
              <w:spacing w:line="276" w:lineRule="auto"/>
              <w:ind w:left="72"/>
              <w:jc w:val="left"/>
              <w:rPr>
                <w:rFonts w:cs="Arial"/>
                <w:szCs w:val="24"/>
              </w:rPr>
            </w:pPr>
            <w:r w:rsidRPr="00786508">
              <w:rPr>
                <w:rFonts w:cs="Arial"/>
                <w:szCs w:val="24"/>
              </w:rPr>
              <w:t>Urađen i odobren projekat</w:t>
            </w:r>
          </w:p>
        </w:tc>
        <w:tc>
          <w:tcPr>
            <w:tcW w:w="1559" w:type="dxa"/>
            <w:vAlign w:val="center"/>
          </w:tcPr>
          <w:p w:rsidR="00917616" w:rsidRPr="00786508" w:rsidRDefault="00917616" w:rsidP="00E7415E">
            <w:pPr>
              <w:spacing w:line="276" w:lineRule="auto"/>
              <w:jc w:val="center"/>
              <w:rPr>
                <w:rFonts w:cs="Arial"/>
                <w:szCs w:val="24"/>
              </w:rPr>
            </w:pPr>
            <w:r>
              <w:rPr>
                <w:rFonts w:cs="Arial"/>
                <w:szCs w:val="24"/>
              </w:rPr>
              <w:t>2022</w:t>
            </w:r>
            <w:r w:rsidRPr="00786508">
              <w:rPr>
                <w:rFonts w:cs="Arial"/>
                <w:szCs w:val="24"/>
              </w:rPr>
              <w:t>.</w:t>
            </w:r>
          </w:p>
        </w:tc>
        <w:tc>
          <w:tcPr>
            <w:tcW w:w="1276" w:type="dxa"/>
            <w:vAlign w:val="center"/>
          </w:tcPr>
          <w:p w:rsidR="00917616" w:rsidRPr="00786508" w:rsidRDefault="00917616" w:rsidP="00E7415E">
            <w:pPr>
              <w:spacing w:line="276" w:lineRule="auto"/>
              <w:jc w:val="center"/>
              <w:rPr>
                <w:rFonts w:cs="Arial"/>
                <w:szCs w:val="24"/>
              </w:rPr>
            </w:pPr>
            <w:r>
              <w:rPr>
                <w:rFonts w:cs="Arial"/>
                <w:szCs w:val="24"/>
              </w:rPr>
              <w:t>5</w:t>
            </w:r>
            <w:r w:rsidRPr="00786508">
              <w:rPr>
                <w:rFonts w:cs="Arial"/>
                <w:szCs w:val="24"/>
              </w:rPr>
              <w:t>00.000</w:t>
            </w:r>
          </w:p>
        </w:tc>
        <w:tc>
          <w:tcPr>
            <w:tcW w:w="1417" w:type="dxa"/>
            <w:vMerge w:val="restart"/>
          </w:tcPr>
          <w:p w:rsidR="00917616" w:rsidRPr="00CE0ABC" w:rsidRDefault="00917616" w:rsidP="00E7415E">
            <w:pPr>
              <w:spacing w:line="276" w:lineRule="auto"/>
              <w:jc w:val="left"/>
              <w:rPr>
                <w:rFonts w:cs="Arial"/>
                <w:szCs w:val="24"/>
                <w:lang w:val="pl-PL"/>
              </w:rPr>
            </w:pPr>
            <w:r w:rsidRPr="00CE0ABC">
              <w:rPr>
                <w:rFonts w:cs="Arial"/>
                <w:szCs w:val="24"/>
                <w:lang w:val="pl-PL"/>
              </w:rPr>
              <w:t>JLS, domaće i međunarodne institucije i organizacije</w:t>
            </w:r>
          </w:p>
        </w:tc>
        <w:tc>
          <w:tcPr>
            <w:tcW w:w="3477" w:type="dxa"/>
          </w:tcPr>
          <w:p w:rsidR="00917616" w:rsidRPr="00CE0ABC" w:rsidRDefault="00917616" w:rsidP="00E7415E">
            <w:pPr>
              <w:spacing w:line="276" w:lineRule="auto"/>
              <w:rPr>
                <w:rFonts w:cs="Arial"/>
                <w:szCs w:val="24"/>
                <w:lang w:val="pl-PL"/>
              </w:rPr>
            </w:pPr>
          </w:p>
        </w:tc>
      </w:tr>
      <w:tr w:rsidR="00917616" w:rsidRPr="00786508" w:rsidTr="00E7415E">
        <w:tc>
          <w:tcPr>
            <w:tcW w:w="846" w:type="dxa"/>
          </w:tcPr>
          <w:p w:rsidR="00917616" w:rsidRPr="00786508" w:rsidRDefault="00917616" w:rsidP="00E7415E">
            <w:pPr>
              <w:spacing w:line="276" w:lineRule="auto"/>
              <w:rPr>
                <w:rFonts w:cs="Arial"/>
                <w:szCs w:val="24"/>
              </w:rPr>
            </w:pPr>
            <w:r w:rsidRPr="00786508">
              <w:rPr>
                <w:rFonts w:cs="Arial"/>
                <w:szCs w:val="24"/>
              </w:rPr>
              <w:t>A 3.2</w:t>
            </w:r>
          </w:p>
        </w:tc>
        <w:tc>
          <w:tcPr>
            <w:tcW w:w="2626" w:type="dxa"/>
            <w:vAlign w:val="center"/>
          </w:tcPr>
          <w:p w:rsidR="00917616" w:rsidRPr="00786508" w:rsidRDefault="00917616" w:rsidP="00E7415E">
            <w:pPr>
              <w:tabs>
                <w:tab w:val="left" w:pos="1928"/>
                <w:tab w:val="left" w:pos="2211"/>
              </w:tabs>
              <w:spacing w:line="276" w:lineRule="auto"/>
              <w:jc w:val="left"/>
            </w:pPr>
            <w:r w:rsidRPr="00786508">
              <w:t>Edukativna kampanja</w:t>
            </w:r>
          </w:p>
        </w:tc>
        <w:tc>
          <w:tcPr>
            <w:tcW w:w="2552" w:type="dxa"/>
            <w:vAlign w:val="center"/>
          </w:tcPr>
          <w:p w:rsidR="00917616" w:rsidRPr="00786508" w:rsidRDefault="00917616" w:rsidP="00E7415E">
            <w:pPr>
              <w:spacing w:line="276" w:lineRule="auto"/>
              <w:jc w:val="left"/>
              <w:rPr>
                <w:rFonts w:cs="Arial"/>
                <w:szCs w:val="24"/>
              </w:rPr>
            </w:pPr>
            <w:r w:rsidRPr="00786508">
              <w:rPr>
                <w:rFonts w:cs="Arial"/>
                <w:szCs w:val="24"/>
              </w:rPr>
              <w:t>Energetski menadžer/opštinska uprava</w:t>
            </w:r>
          </w:p>
        </w:tc>
        <w:tc>
          <w:tcPr>
            <w:tcW w:w="1768" w:type="dxa"/>
            <w:vAlign w:val="center"/>
          </w:tcPr>
          <w:p w:rsidR="00917616" w:rsidRPr="00786508" w:rsidRDefault="00917616" w:rsidP="00E7415E">
            <w:pPr>
              <w:spacing w:line="276" w:lineRule="auto"/>
              <w:ind w:left="72"/>
              <w:jc w:val="left"/>
              <w:rPr>
                <w:rFonts w:cs="Arial"/>
                <w:szCs w:val="24"/>
              </w:rPr>
            </w:pPr>
            <w:r w:rsidRPr="00786508">
              <w:rPr>
                <w:rFonts w:cs="Arial"/>
                <w:szCs w:val="24"/>
              </w:rPr>
              <w:t>Povećanje broja domaćinstava koja efikasno koriste ogrevno drvo</w:t>
            </w:r>
          </w:p>
        </w:tc>
        <w:tc>
          <w:tcPr>
            <w:tcW w:w="1559" w:type="dxa"/>
            <w:vAlign w:val="center"/>
          </w:tcPr>
          <w:p w:rsidR="00917616" w:rsidRPr="00786508" w:rsidRDefault="00917616" w:rsidP="00E7415E">
            <w:pPr>
              <w:spacing w:line="276" w:lineRule="auto"/>
              <w:jc w:val="center"/>
              <w:rPr>
                <w:rFonts w:cs="Arial"/>
                <w:szCs w:val="24"/>
              </w:rPr>
            </w:pPr>
            <w:r>
              <w:rPr>
                <w:rFonts w:cs="Arial"/>
                <w:szCs w:val="24"/>
              </w:rPr>
              <w:t>2022-2024</w:t>
            </w:r>
            <w:r w:rsidRPr="00786508">
              <w:rPr>
                <w:rFonts w:cs="Arial"/>
                <w:szCs w:val="24"/>
              </w:rPr>
              <w:t>.</w:t>
            </w:r>
          </w:p>
        </w:tc>
        <w:tc>
          <w:tcPr>
            <w:tcW w:w="1276" w:type="dxa"/>
            <w:vAlign w:val="center"/>
          </w:tcPr>
          <w:p w:rsidR="00917616" w:rsidRPr="00786508" w:rsidRDefault="00917616" w:rsidP="00E7415E">
            <w:pPr>
              <w:spacing w:line="276" w:lineRule="auto"/>
              <w:jc w:val="center"/>
              <w:rPr>
                <w:rFonts w:cs="Arial"/>
                <w:szCs w:val="24"/>
              </w:rPr>
            </w:pPr>
            <w:r w:rsidRPr="00786508">
              <w:rPr>
                <w:rFonts w:cs="Arial"/>
                <w:szCs w:val="24"/>
              </w:rPr>
              <w:t>6.000.000</w:t>
            </w:r>
          </w:p>
        </w:tc>
        <w:tc>
          <w:tcPr>
            <w:tcW w:w="1417" w:type="dxa"/>
            <w:vMerge/>
            <w:vAlign w:val="center"/>
          </w:tcPr>
          <w:p w:rsidR="00917616" w:rsidRPr="00786508" w:rsidRDefault="00917616" w:rsidP="00E7415E">
            <w:pPr>
              <w:spacing w:line="276" w:lineRule="auto"/>
              <w:jc w:val="left"/>
              <w:rPr>
                <w:rFonts w:cs="Arial"/>
                <w:szCs w:val="24"/>
              </w:rPr>
            </w:pPr>
          </w:p>
        </w:tc>
        <w:tc>
          <w:tcPr>
            <w:tcW w:w="3477" w:type="dxa"/>
            <w:vAlign w:val="center"/>
          </w:tcPr>
          <w:p w:rsidR="00917616" w:rsidRPr="00786508" w:rsidRDefault="00917616" w:rsidP="00E7415E">
            <w:pPr>
              <w:spacing w:line="276" w:lineRule="auto"/>
              <w:jc w:val="left"/>
              <w:rPr>
                <w:rFonts w:cs="Arial"/>
                <w:szCs w:val="24"/>
              </w:rPr>
            </w:pPr>
            <w:r w:rsidRPr="00786508">
              <w:rPr>
                <w:rFonts w:cs="Arial"/>
                <w:szCs w:val="24"/>
              </w:rPr>
              <w:t>Broj održanih edukativnih radionica; Broj prisutnih građana; Broj održanih seminara; Broj odštampanih brošura, lifleta i drugog edukativnog materijala; Broj nastupa na lokalnim radio i TV stanicama; Broj članaka u lokalnim štampanim medijima; Broj organizovanih događaja na otvorenom uz prisustvo čelnika lokalne samopurave i vodećih proizvođača opreme i drvnih goriva.</w:t>
            </w:r>
          </w:p>
        </w:tc>
      </w:tr>
      <w:tr w:rsidR="00917616" w:rsidRPr="00786508" w:rsidTr="00E7415E">
        <w:tc>
          <w:tcPr>
            <w:tcW w:w="846" w:type="dxa"/>
            <w:vAlign w:val="center"/>
          </w:tcPr>
          <w:p w:rsidR="00917616" w:rsidRPr="00786508" w:rsidRDefault="00917616" w:rsidP="00E7415E">
            <w:pPr>
              <w:spacing w:line="276" w:lineRule="auto"/>
              <w:jc w:val="left"/>
              <w:rPr>
                <w:rFonts w:cs="Arial"/>
                <w:szCs w:val="24"/>
              </w:rPr>
            </w:pPr>
            <w:r w:rsidRPr="00786508">
              <w:rPr>
                <w:rFonts w:cs="Arial"/>
                <w:szCs w:val="24"/>
              </w:rPr>
              <w:t>A.3.3</w:t>
            </w:r>
          </w:p>
        </w:tc>
        <w:tc>
          <w:tcPr>
            <w:tcW w:w="2626" w:type="dxa"/>
            <w:vAlign w:val="center"/>
          </w:tcPr>
          <w:p w:rsidR="00917616" w:rsidRPr="00786508" w:rsidRDefault="00917616" w:rsidP="00E7415E">
            <w:pPr>
              <w:spacing w:line="276" w:lineRule="auto"/>
              <w:jc w:val="left"/>
              <w:rPr>
                <w:rFonts w:cs="Arial"/>
                <w:szCs w:val="24"/>
              </w:rPr>
            </w:pPr>
            <w:r w:rsidRPr="00786508">
              <w:rPr>
                <w:rFonts w:cs="Arial"/>
                <w:szCs w:val="24"/>
              </w:rPr>
              <w:t>Evaluacija rezultata projekta</w:t>
            </w:r>
          </w:p>
        </w:tc>
        <w:tc>
          <w:tcPr>
            <w:tcW w:w="2552" w:type="dxa"/>
            <w:vAlign w:val="center"/>
          </w:tcPr>
          <w:p w:rsidR="00917616" w:rsidRPr="00786508" w:rsidRDefault="00917616" w:rsidP="00E7415E">
            <w:pPr>
              <w:spacing w:line="276" w:lineRule="auto"/>
              <w:jc w:val="left"/>
              <w:rPr>
                <w:rFonts w:cs="Arial"/>
                <w:szCs w:val="24"/>
              </w:rPr>
            </w:pPr>
            <w:r w:rsidRPr="00786508">
              <w:rPr>
                <w:rFonts w:cs="Arial"/>
                <w:szCs w:val="24"/>
              </w:rPr>
              <w:t>Energetski menadžer/angažovani eksperti</w:t>
            </w:r>
          </w:p>
        </w:tc>
        <w:tc>
          <w:tcPr>
            <w:tcW w:w="1768" w:type="dxa"/>
          </w:tcPr>
          <w:p w:rsidR="00917616" w:rsidRPr="00786508" w:rsidRDefault="00917616" w:rsidP="00E7415E">
            <w:pPr>
              <w:spacing w:line="276" w:lineRule="auto"/>
              <w:ind w:left="72"/>
              <w:rPr>
                <w:rFonts w:cs="Arial"/>
                <w:szCs w:val="24"/>
              </w:rPr>
            </w:pPr>
          </w:p>
        </w:tc>
        <w:tc>
          <w:tcPr>
            <w:tcW w:w="1559" w:type="dxa"/>
            <w:vAlign w:val="center"/>
          </w:tcPr>
          <w:p w:rsidR="00917616" w:rsidRPr="00786508" w:rsidRDefault="00917616" w:rsidP="00E7415E">
            <w:pPr>
              <w:spacing w:line="276" w:lineRule="auto"/>
              <w:jc w:val="center"/>
              <w:rPr>
                <w:rFonts w:cs="Arial"/>
                <w:szCs w:val="24"/>
              </w:rPr>
            </w:pPr>
            <w:r>
              <w:rPr>
                <w:rFonts w:cs="Arial"/>
                <w:szCs w:val="24"/>
              </w:rPr>
              <w:t>2022</w:t>
            </w:r>
            <w:r w:rsidRPr="00786508">
              <w:rPr>
                <w:rFonts w:cs="Arial"/>
                <w:szCs w:val="24"/>
              </w:rPr>
              <w:t>.</w:t>
            </w:r>
          </w:p>
        </w:tc>
        <w:tc>
          <w:tcPr>
            <w:tcW w:w="1276" w:type="dxa"/>
            <w:vAlign w:val="center"/>
          </w:tcPr>
          <w:p w:rsidR="00917616" w:rsidRPr="00786508" w:rsidRDefault="00917616" w:rsidP="00E7415E">
            <w:pPr>
              <w:spacing w:line="276" w:lineRule="auto"/>
              <w:jc w:val="center"/>
              <w:rPr>
                <w:rFonts w:cs="Arial"/>
                <w:szCs w:val="24"/>
              </w:rPr>
            </w:pPr>
            <w:r w:rsidRPr="00786508">
              <w:rPr>
                <w:rFonts w:cs="Arial"/>
                <w:szCs w:val="24"/>
              </w:rPr>
              <w:t>600.000</w:t>
            </w:r>
          </w:p>
        </w:tc>
        <w:tc>
          <w:tcPr>
            <w:tcW w:w="1417" w:type="dxa"/>
            <w:vMerge/>
          </w:tcPr>
          <w:p w:rsidR="00917616" w:rsidRPr="00786508" w:rsidRDefault="00917616" w:rsidP="00E7415E">
            <w:pPr>
              <w:spacing w:line="276" w:lineRule="auto"/>
              <w:rPr>
                <w:rFonts w:cs="Arial"/>
                <w:szCs w:val="24"/>
              </w:rPr>
            </w:pPr>
          </w:p>
        </w:tc>
        <w:tc>
          <w:tcPr>
            <w:tcW w:w="3477" w:type="dxa"/>
            <w:vAlign w:val="center"/>
          </w:tcPr>
          <w:p w:rsidR="00917616" w:rsidRPr="00786508" w:rsidRDefault="00917616" w:rsidP="00E7415E">
            <w:pPr>
              <w:spacing w:line="276" w:lineRule="auto"/>
              <w:jc w:val="left"/>
              <w:rPr>
                <w:rFonts w:cs="Arial"/>
                <w:szCs w:val="24"/>
              </w:rPr>
            </w:pPr>
            <w:r w:rsidRPr="00786508">
              <w:rPr>
                <w:rFonts w:cs="Arial"/>
                <w:szCs w:val="24"/>
              </w:rPr>
              <w:t>Anketom utvrđeno da je broj  domaćinstava koja efikasno koriste ogrevno drvo povećan za 10% u odnosu na baznu 2017.</w:t>
            </w:r>
          </w:p>
        </w:tc>
      </w:tr>
      <w:tr w:rsidR="00917616" w:rsidRPr="00CE0ABC" w:rsidTr="00E7415E">
        <w:tc>
          <w:tcPr>
            <w:tcW w:w="846" w:type="dxa"/>
          </w:tcPr>
          <w:p w:rsidR="00917616" w:rsidRPr="00786508" w:rsidRDefault="00917616" w:rsidP="00E7415E">
            <w:pPr>
              <w:spacing w:line="276" w:lineRule="auto"/>
              <w:rPr>
                <w:rFonts w:cs="Arial"/>
                <w:szCs w:val="24"/>
              </w:rPr>
            </w:pPr>
          </w:p>
        </w:tc>
        <w:tc>
          <w:tcPr>
            <w:tcW w:w="2626" w:type="dxa"/>
          </w:tcPr>
          <w:p w:rsidR="00917616" w:rsidRPr="00786508" w:rsidRDefault="00917616" w:rsidP="00E7415E">
            <w:pPr>
              <w:spacing w:line="276" w:lineRule="auto"/>
              <w:rPr>
                <w:rFonts w:cs="Arial"/>
                <w:b/>
                <w:szCs w:val="24"/>
              </w:rPr>
            </w:pPr>
            <w:r w:rsidRPr="00786508">
              <w:rPr>
                <w:rFonts w:cs="Arial"/>
                <w:b/>
                <w:szCs w:val="24"/>
              </w:rPr>
              <w:t>Zbirno za M3:</w:t>
            </w:r>
          </w:p>
        </w:tc>
        <w:tc>
          <w:tcPr>
            <w:tcW w:w="12049" w:type="dxa"/>
            <w:gridSpan w:val="6"/>
          </w:tcPr>
          <w:p w:rsidR="00917616" w:rsidRPr="00CE0ABC" w:rsidRDefault="00917616" w:rsidP="00E7415E">
            <w:pPr>
              <w:spacing w:line="276" w:lineRule="auto"/>
              <w:rPr>
                <w:rFonts w:cs="Arial"/>
                <w:szCs w:val="24"/>
                <w:lang w:val="pl-PL"/>
              </w:rPr>
            </w:pPr>
            <w:r w:rsidRPr="00CE0ABC">
              <w:rPr>
                <w:i/>
                <w:lang w:val="pl-PL"/>
              </w:rPr>
              <w:t>Povećanje broja domaćinstava koja efikasno koriste ogr</w:t>
            </w:r>
            <w:r>
              <w:rPr>
                <w:i/>
                <w:lang w:val="pl-PL"/>
              </w:rPr>
              <w:t>evno drvo za najmanje 10% u 2022</w:t>
            </w:r>
            <w:r w:rsidRPr="00CE0ABC">
              <w:rPr>
                <w:i/>
                <w:lang w:val="pl-PL"/>
              </w:rPr>
              <w:t>. godini u odnosu na baznu 2017. godinu.</w:t>
            </w:r>
          </w:p>
        </w:tc>
      </w:tr>
    </w:tbl>
    <w:p w:rsidR="00917616" w:rsidRPr="00CE0ABC" w:rsidRDefault="00917616" w:rsidP="00E7415E">
      <w:pPr>
        <w:overflowPunct/>
        <w:autoSpaceDE/>
        <w:autoSpaceDN/>
        <w:adjustRightInd/>
        <w:spacing w:line="276" w:lineRule="auto"/>
        <w:textAlignment w:val="auto"/>
        <w:rPr>
          <w:lang w:val="pl-PL"/>
        </w:rPr>
      </w:pPr>
    </w:p>
    <w:sectPr w:rsidR="00917616" w:rsidRPr="00CE0ABC" w:rsidSect="00E7415E">
      <w:pgSz w:w="16840" w:h="11907" w:orient="landscape" w:code="9"/>
      <w:pgMar w:top="1134" w:right="1116"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616" w:rsidRDefault="00917616" w:rsidP="00E46FC0">
      <w:r>
        <w:separator/>
      </w:r>
    </w:p>
  </w:endnote>
  <w:endnote w:type="continuationSeparator" w:id="0">
    <w:p w:rsidR="00917616" w:rsidRDefault="00917616" w:rsidP="00E46F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Yu C Times Roman">
    <w:panose1 w:val="00000000000000000000"/>
    <w:charset w:val="00"/>
    <w:family w:val="swiss"/>
    <w:notTrueType/>
    <w:pitch w:val="variable"/>
    <w:sig w:usb0="00000003" w:usb1="00000000" w:usb2="00000000" w:usb3="00000000" w:csb0="00000001" w:csb1="00000000"/>
  </w:font>
  <w:font w:name="CIDFont+F1">
    <w:altName w:val="MS Mincho"/>
    <w:panose1 w:val="00000000000000000000"/>
    <w:charset w:val="80"/>
    <w:family w:val="auto"/>
    <w:notTrueType/>
    <w:pitch w:val="default"/>
    <w:sig w:usb0="00000001" w:usb1="08070000" w:usb2="00000010" w:usb3="00000000" w:csb0="00020000" w:csb1="00000000"/>
  </w:font>
  <w:font w:name="CIDFont+F2">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616" w:rsidRPr="007C4089" w:rsidRDefault="00917616" w:rsidP="007C4089">
    <w:pPr>
      <w:pStyle w:val="Footer"/>
    </w:pPr>
    <w:r>
      <w:t xml:space="preserve">-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616" w:rsidRDefault="00917616" w:rsidP="00E46FC0">
      <w:r>
        <w:separator/>
      </w:r>
    </w:p>
  </w:footnote>
  <w:footnote w:type="continuationSeparator" w:id="0">
    <w:p w:rsidR="00917616" w:rsidRDefault="00917616" w:rsidP="00E46FC0">
      <w:r>
        <w:continuationSeparator/>
      </w:r>
    </w:p>
  </w:footnote>
  <w:footnote w:id="1">
    <w:p w:rsidR="00917616" w:rsidRDefault="00917616">
      <w:pPr>
        <w:pStyle w:val="FootnoteText"/>
      </w:pPr>
      <w:r>
        <w:rPr>
          <w:rStyle w:val="FootnoteReference"/>
        </w:rPr>
        <w:footnoteRef/>
      </w:r>
      <w:r w:rsidRPr="009D3132">
        <w:t xml:space="preserve"> Zvanična internet prezentacija </w:t>
      </w:r>
      <w:r>
        <w:t>o</w:t>
      </w:r>
      <w:r w:rsidRPr="009D3132">
        <w:t>pštine Petrovac na Mlavi, Lokalna strategija održivog razvoja opštine Petrovac na Mlavi 2015-2020</w:t>
      </w:r>
      <w:r>
        <w:t>.</w:t>
      </w:r>
    </w:p>
  </w:footnote>
  <w:footnote w:id="2">
    <w:p w:rsidR="00917616" w:rsidRDefault="00917616" w:rsidP="00F574C6">
      <w:pPr>
        <w:pStyle w:val="FootnoteText"/>
      </w:pPr>
      <w:r>
        <w:rPr>
          <w:rStyle w:val="FootnoteReference"/>
        </w:rPr>
        <w:footnoteRef/>
      </w:r>
      <w:r w:rsidRPr="005E1CE1">
        <w:t xml:space="preserve"> </w:t>
      </w:r>
      <w:r>
        <w:rPr>
          <w:rFonts w:cs="Arial"/>
        </w:rPr>
        <w:t>„</w:t>
      </w:r>
      <w:r w:rsidRPr="005E1CE1">
        <w:rPr>
          <w:rFonts w:cs="Arial"/>
        </w:rPr>
        <w:t>Drvna energija za održivi ruralni razvoj u Srbiji</w:t>
      </w:r>
      <w:r>
        <w:rPr>
          <w:rFonts w:cs="Arial"/>
        </w:rPr>
        <w:t>”</w:t>
      </w:r>
      <w:r w:rsidRPr="005E1CE1">
        <w:rPr>
          <w:rFonts w:cs="Arial"/>
        </w:rPr>
        <w:t xml:space="preserve"> TCP/YUG/321, FAO i Ministarstvo poljoprivrede, šumarstva i vodoprivrede Republike Srbije</w:t>
      </w:r>
    </w:p>
  </w:footnote>
  <w:footnote w:id="3">
    <w:p w:rsidR="00917616" w:rsidRDefault="00917616" w:rsidP="00F574C6">
      <w:pPr>
        <w:pStyle w:val="FootnoteText"/>
      </w:pPr>
      <w:r>
        <w:rPr>
          <w:rStyle w:val="FootnoteReference"/>
        </w:rPr>
        <w:footnoteRef/>
      </w:r>
      <w:r w:rsidRPr="00CE0ABC">
        <w:rPr>
          <w:lang w:val="pl-PL"/>
        </w:rPr>
        <w:t xml:space="preserve"> Agencija za energetsku efikasnost Srbije, 2013.</w:t>
      </w:r>
    </w:p>
  </w:footnote>
  <w:footnote w:id="4">
    <w:p w:rsidR="00917616" w:rsidRDefault="00917616" w:rsidP="002A4FF9">
      <w:pPr>
        <w:pStyle w:val="FootnoteText"/>
      </w:pPr>
      <w:r>
        <w:rPr>
          <w:rStyle w:val="FootnoteReference"/>
        </w:rPr>
        <w:footnoteRef/>
      </w:r>
      <w:r w:rsidRPr="00CE0ABC">
        <w:rPr>
          <w:lang w:val="pl-PL"/>
        </w:rPr>
        <w:t xml:space="preserve"> „Energetski zasadi brzorastućih vrsta drveća u Srbiji: produkcija biomase, legislativa, tržište i uticaji na životnu sredinu- potencijali i ograničenja”, Dr Branko Stajic, UNDP, 2016.</w:t>
      </w:r>
    </w:p>
  </w:footnote>
  <w:footnote w:id="5">
    <w:p w:rsidR="00917616" w:rsidRDefault="00917616" w:rsidP="002A4FF9">
      <w:pPr>
        <w:pStyle w:val="FootnoteText"/>
      </w:pPr>
      <w:r>
        <w:rPr>
          <w:rStyle w:val="FootnoteReference"/>
        </w:rPr>
        <w:footnoteRef/>
      </w:r>
      <w:r w:rsidRPr="00CE0ABC">
        <w:rPr>
          <w:lang w:val="pl-PL"/>
        </w:rPr>
        <w:t xml:space="preserve"> 1450-5029 (2007) 11; 1-2; p.66-70 Originalni naučni rad UDK: 631.147; 633.2 Orginal Scientific Paper MISKANTUS – EVROPSKA ISKUSTVA SA NOVIM ENERGETSKIM USEVOM MISCANTHUS – EUROPEAN EXPERIENCE WITH A NOVEL ENERGY CROP Mr Željko DŽELETOVIĆ*, Dr Gordana DRAŽIĆ*, Dr Đorđe GLAMOČLIJA**, Dr Nevena MIHAILOVIĆ*, * INEP – Institut za primenu nuklearne energije, 11080 Zemun, Banatska 31-b ** Poljoprivredni fakultet, 11080 Zemun, Nemanjina 6</w:t>
      </w:r>
    </w:p>
  </w:footnote>
  <w:footnote w:id="6">
    <w:p w:rsidR="00917616" w:rsidRDefault="00917616" w:rsidP="002A4FF9">
      <w:pPr>
        <w:pStyle w:val="FootnoteText"/>
      </w:pPr>
      <w:r>
        <w:rPr>
          <w:rStyle w:val="FootnoteReference"/>
        </w:rPr>
        <w:footnoteRef/>
      </w:r>
      <w:r w:rsidRPr="00CE0ABC">
        <w:rPr>
          <w:lang w:val="pl-PL"/>
        </w:rPr>
        <w:t xml:space="preserve"> University of Osijek B.Sc. Faculty of Agriculture Graduate programs Plant - crop production SILAGE SROGHUM PRODUCTION FOR BIOGAS, Tomislav Prgić - Studija Silažni sirak za proizvodnju biogasa</w:t>
      </w:r>
    </w:p>
  </w:footnote>
  <w:footnote w:id="7">
    <w:p w:rsidR="00917616" w:rsidRDefault="00917616" w:rsidP="002A4FF9">
      <w:pPr>
        <w:pStyle w:val="FootnoteText"/>
      </w:pPr>
      <w:r>
        <w:rPr>
          <w:rStyle w:val="FootnoteReference"/>
        </w:rPr>
        <w:footnoteRef/>
      </w:r>
      <w:r w:rsidRPr="00CE0ABC">
        <w:rPr>
          <w:lang w:val="pl-PL"/>
        </w:rPr>
        <w:t xml:space="preserve"> Prinos biomase sirka u različitim okolišima, Gantner, Ranko; Kralik, Davor; Popović, Brigita; Jovičić, Daria; Kovačić, Đurđica; Prgić, Tomislav, Book of abstracts of 50th Croatian and 10th International Symposium on Agriculture / Milan Pospišil (ur.). - Zagreb : University of Zagreb, Faculty of Agriculture Zagreb, Croatia , 2015. </w:t>
      </w:r>
      <w:r w:rsidRPr="003C10BA">
        <w:t>155-156 (ISBN: 978-953-7878-29-0).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616" w:rsidRPr="00C343C1" w:rsidRDefault="00917616" w:rsidP="007532AF">
    <w:pPr>
      <w:pStyle w:val="Header"/>
      <w:pBdr>
        <w:bottom w:val="single" w:sz="4" w:space="1" w:color="404040"/>
      </w:pBd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616" w:rsidRPr="00C343C1" w:rsidRDefault="00917616" w:rsidP="007532AF">
    <w:pPr>
      <w:pStyle w:val="Header"/>
      <w:pBdr>
        <w:bottom w:val="single" w:sz="4" w:space="1" w:color="404040"/>
      </w:pBd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866DCA"/>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C150AA9C"/>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6BBA274E"/>
    <w:lvl w:ilvl="0">
      <w:start w:val="1"/>
      <w:numFmt w:val="bullet"/>
      <w:lvlText w:val=""/>
      <w:lvlJc w:val="left"/>
      <w:pPr>
        <w:tabs>
          <w:tab w:val="num" w:pos="360"/>
        </w:tabs>
        <w:ind w:left="360" w:hanging="360"/>
      </w:pPr>
      <w:rPr>
        <w:rFonts w:ascii="Symbol" w:hAnsi="Symbol" w:hint="default"/>
      </w:rPr>
    </w:lvl>
  </w:abstractNum>
  <w:abstractNum w:abstractNumId="3">
    <w:nsid w:val="04CF2528"/>
    <w:multiLevelType w:val="hybridMultilevel"/>
    <w:tmpl w:val="3BB04704"/>
    <w:lvl w:ilvl="0" w:tplc="3FFCF9B4">
      <w:start w:val="59"/>
      <w:numFmt w:val="bullet"/>
      <w:lvlText w:val="-"/>
      <w:lvlJc w:val="left"/>
      <w:pPr>
        <w:ind w:left="900" w:hanging="360"/>
      </w:pPr>
      <w:rPr>
        <w:rFonts w:ascii="Calibri" w:eastAsia="Times New Roman" w:hAnsi="Calibri"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6465F91"/>
    <w:multiLevelType w:val="multilevel"/>
    <w:tmpl w:val="04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D773F24"/>
    <w:multiLevelType w:val="multilevel"/>
    <w:tmpl w:val="0E843060"/>
    <w:styleLink w:val="GFANumberedList"/>
    <w:lvl w:ilvl="0">
      <w:start w:val="1"/>
      <w:numFmt w:val="decimal"/>
      <w:lvlText w:val="%1."/>
      <w:lvlJc w:val="left"/>
      <w:pPr>
        <w:tabs>
          <w:tab w:val="num" w:pos="284"/>
        </w:tabs>
        <w:ind w:left="284" w:hanging="284"/>
      </w:pPr>
      <w:rPr>
        <w:rFonts w:ascii="Arial" w:hAnsi="Arial" w:cs="Times New Roman" w:hint="default"/>
        <w:color w:val="1F497D"/>
      </w:rPr>
    </w:lvl>
    <w:lvl w:ilvl="1">
      <w:start w:val="1"/>
      <w:numFmt w:val="lowerLetter"/>
      <w:lvlText w:val="%2)"/>
      <w:lvlJc w:val="left"/>
      <w:pPr>
        <w:tabs>
          <w:tab w:val="num" w:pos="568"/>
        </w:tabs>
        <w:ind w:left="568" w:hanging="284"/>
      </w:pPr>
      <w:rPr>
        <w:rFonts w:cs="Times New Roman" w:hint="default"/>
      </w:rPr>
    </w:lvl>
    <w:lvl w:ilvl="2">
      <w:start w:val="1"/>
      <w:numFmt w:val="lowerRoman"/>
      <w:lvlText w:val="%3"/>
      <w:lvlJc w:val="left"/>
      <w:pPr>
        <w:tabs>
          <w:tab w:val="num" w:pos="852"/>
        </w:tabs>
        <w:ind w:left="852" w:hanging="284"/>
      </w:pPr>
      <w:rPr>
        <w:rFonts w:cs="Times New Roman" w:hint="default"/>
      </w:rPr>
    </w:lvl>
    <w:lvl w:ilvl="3">
      <w:start w:val="1"/>
      <w:numFmt w:val="bullet"/>
      <w:lvlText w:val=""/>
      <w:lvlJc w:val="left"/>
      <w:pPr>
        <w:tabs>
          <w:tab w:val="num" w:pos="1136"/>
        </w:tabs>
        <w:ind w:left="1136" w:hanging="284"/>
      </w:pPr>
      <w:rPr>
        <w:rFonts w:ascii="Wingdings" w:hAnsi="Wingdings" w:hint="default"/>
        <w:color w:val="404040"/>
      </w:rPr>
    </w:lvl>
    <w:lvl w:ilvl="4">
      <w:start w:val="1"/>
      <w:numFmt w:val="bullet"/>
      <w:lvlText w:val=""/>
      <w:lvlJc w:val="left"/>
      <w:pPr>
        <w:tabs>
          <w:tab w:val="num" w:pos="1420"/>
        </w:tabs>
        <w:ind w:left="1420" w:hanging="284"/>
      </w:pPr>
      <w:rPr>
        <w:rFonts w:ascii="Symbol" w:hAnsi="Symbol" w:hint="default"/>
        <w:color w:val="auto"/>
      </w:rPr>
    </w:lvl>
    <w:lvl w:ilvl="5">
      <w:start w:val="1"/>
      <w:numFmt w:val="bullet"/>
      <w:lvlText w:val=""/>
      <w:lvlJc w:val="left"/>
      <w:pPr>
        <w:tabs>
          <w:tab w:val="num" w:pos="1704"/>
        </w:tabs>
        <w:ind w:left="1701" w:hanging="281"/>
      </w:pPr>
      <w:rPr>
        <w:rFonts w:ascii="Wingdings" w:hAnsi="Wingdings" w:hint="default"/>
        <w:color w:val="auto"/>
      </w:rPr>
    </w:lvl>
    <w:lvl w:ilvl="6">
      <w:start w:val="1"/>
      <w:numFmt w:val="bullet"/>
      <w:lvlText w:val=""/>
      <w:lvlJc w:val="left"/>
      <w:pPr>
        <w:tabs>
          <w:tab w:val="num" w:pos="1988"/>
        </w:tabs>
        <w:ind w:left="1985" w:hanging="284"/>
      </w:pPr>
      <w:rPr>
        <w:rFonts w:ascii="Wingdings" w:hAnsi="Wingdings" w:hint="default"/>
        <w:color w:val="auto"/>
      </w:rPr>
    </w:lvl>
    <w:lvl w:ilvl="7">
      <w:start w:val="1"/>
      <w:numFmt w:val="bullet"/>
      <w:lvlText w:val=""/>
      <w:lvlJc w:val="left"/>
      <w:pPr>
        <w:tabs>
          <w:tab w:val="num" w:pos="2272"/>
        </w:tabs>
        <w:ind w:left="2268" w:hanging="283"/>
      </w:pPr>
      <w:rPr>
        <w:rFonts w:ascii="Wingdings" w:hAnsi="Wingdings" w:hint="default"/>
        <w:color w:val="auto"/>
      </w:rPr>
    </w:lvl>
    <w:lvl w:ilvl="8">
      <w:start w:val="1"/>
      <w:numFmt w:val="bullet"/>
      <w:lvlText w:val=""/>
      <w:lvlJc w:val="left"/>
      <w:pPr>
        <w:tabs>
          <w:tab w:val="num" w:pos="2556"/>
        </w:tabs>
        <w:ind w:left="2552" w:hanging="284"/>
      </w:pPr>
      <w:rPr>
        <w:rFonts w:ascii="Wingdings" w:hAnsi="Wingdings" w:hint="default"/>
        <w:color w:val="auto"/>
      </w:rPr>
    </w:lvl>
  </w:abstractNum>
  <w:abstractNum w:abstractNumId="6">
    <w:nsid w:val="0FC402C2"/>
    <w:multiLevelType w:val="hybridMultilevel"/>
    <w:tmpl w:val="58AE7438"/>
    <w:lvl w:ilvl="0" w:tplc="BBA65340">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65674"/>
    <w:multiLevelType w:val="hybridMultilevel"/>
    <w:tmpl w:val="BE3EFFFC"/>
    <w:lvl w:ilvl="0" w:tplc="474C9C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440799"/>
    <w:multiLevelType w:val="multilevel"/>
    <w:tmpl w:val="E6EEC38A"/>
    <w:styleLink w:val="GFABulletedList"/>
    <w:lvl w:ilvl="0">
      <w:start w:val="1"/>
      <w:numFmt w:val="bullet"/>
      <w:lvlText w:val=""/>
      <w:lvlJc w:val="left"/>
      <w:pPr>
        <w:ind w:left="284" w:hanging="284"/>
      </w:pPr>
      <w:rPr>
        <w:rFonts w:ascii="Wingdings" w:hAnsi="Wingdings" w:hint="default"/>
        <w:color w:val="1F497D"/>
      </w:rPr>
    </w:lvl>
    <w:lvl w:ilvl="1">
      <w:start w:val="1"/>
      <w:numFmt w:val="bullet"/>
      <w:lvlText w:val="-"/>
      <w:lvlJc w:val="left"/>
      <w:pPr>
        <w:ind w:left="568" w:hanging="284"/>
      </w:pPr>
      <w:rPr>
        <w:rFonts w:ascii="Arial" w:hAnsi="Aria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268"/>
      </w:pPr>
      <w:rPr>
        <w:rFonts w:ascii="Symbol" w:hAnsi="Symbol" w:hint="default"/>
      </w:rPr>
    </w:lvl>
  </w:abstractNum>
  <w:abstractNum w:abstractNumId="9">
    <w:nsid w:val="2D7401A4"/>
    <w:multiLevelType w:val="hybridMultilevel"/>
    <w:tmpl w:val="5284043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23D155C"/>
    <w:multiLevelType w:val="multilevel"/>
    <w:tmpl w:val="B0F65C40"/>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40"/>
        </w:tabs>
        <w:ind w:left="1134"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3B9D491D"/>
    <w:multiLevelType w:val="hybridMultilevel"/>
    <w:tmpl w:val="521C73F8"/>
    <w:lvl w:ilvl="0" w:tplc="9A005A3A">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1080B4C"/>
    <w:multiLevelType w:val="hybridMultilevel"/>
    <w:tmpl w:val="3878C87E"/>
    <w:lvl w:ilvl="0" w:tplc="B786093A">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1C44617"/>
    <w:multiLevelType w:val="multilevel"/>
    <w:tmpl w:val="7E3C2556"/>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i w:val="0"/>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40"/>
        </w:tabs>
        <w:ind w:left="1134"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nsid w:val="43F83CE5"/>
    <w:multiLevelType w:val="hybridMultilevel"/>
    <w:tmpl w:val="5EBE2366"/>
    <w:lvl w:ilvl="0" w:tplc="9A005A3A">
      <w:numFmt w:val="bullet"/>
      <w:lvlText w:val="-"/>
      <w:lvlJc w:val="left"/>
      <w:pPr>
        <w:ind w:left="720" w:hanging="360"/>
      </w:pPr>
      <w:rPr>
        <w:rFonts w:ascii="Times New Roman" w:eastAsia="Times New Roman" w:hAnsi="Times New Roman" w:hint="default"/>
      </w:rPr>
    </w:lvl>
    <w:lvl w:ilvl="1" w:tplc="F56E3D42">
      <w:start w:val="1"/>
      <w:numFmt w:val="bullet"/>
      <w:lvlText w:val="o"/>
      <w:lvlJc w:val="left"/>
      <w:pPr>
        <w:ind w:left="1440" w:hanging="360"/>
      </w:pPr>
      <w:rPr>
        <w:rFonts w:ascii="Courier New" w:hAnsi="Courier New" w:hint="default"/>
      </w:rPr>
    </w:lvl>
    <w:lvl w:ilvl="2" w:tplc="977C1F9A">
      <w:start w:val="1"/>
      <w:numFmt w:val="bullet"/>
      <w:lvlText w:val=""/>
      <w:lvlJc w:val="left"/>
      <w:pPr>
        <w:ind w:left="2160" w:hanging="360"/>
      </w:pPr>
      <w:rPr>
        <w:rFonts w:ascii="Wingdings" w:hAnsi="Wingdings" w:hint="default"/>
      </w:rPr>
    </w:lvl>
    <w:lvl w:ilvl="3" w:tplc="C4D6D4CC" w:tentative="1">
      <w:start w:val="1"/>
      <w:numFmt w:val="bullet"/>
      <w:lvlText w:val=""/>
      <w:lvlJc w:val="left"/>
      <w:pPr>
        <w:ind w:left="2880" w:hanging="360"/>
      </w:pPr>
      <w:rPr>
        <w:rFonts w:ascii="Symbol" w:hAnsi="Symbol" w:hint="default"/>
      </w:rPr>
    </w:lvl>
    <w:lvl w:ilvl="4" w:tplc="41861AE2" w:tentative="1">
      <w:start w:val="1"/>
      <w:numFmt w:val="bullet"/>
      <w:lvlText w:val="o"/>
      <w:lvlJc w:val="left"/>
      <w:pPr>
        <w:ind w:left="3600" w:hanging="360"/>
      </w:pPr>
      <w:rPr>
        <w:rFonts w:ascii="Courier New" w:hAnsi="Courier New" w:hint="default"/>
      </w:rPr>
    </w:lvl>
    <w:lvl w:ilvl="5" w:tplc="CC985FD2" w:tentative="1">
      <w:start w:val="1"/>
      <w:numFmt w:val="bullet"/>
      <w:lvlText w:val=""/>
      <w:lvlJc w:val="left"/>
      <w:pPr>
        <w:ind w:left="4320" w:hanging="360"/>
      </w:pPr>
      <w:rPr>
        <w:rFonts w:ascii="Wingdings" w:hAnsi="Wingdings" w:hint="default"/>
      </w:rPr>
    </w:lvl>
    <w:lvl w:ilvl="6" w:tplc="5C489D72" w:tentative="1">
      <w:start w:val="1"/>
      <w:numFmt w:val="bullet"/>
      <w:lvlText w:val=""/>
      <w:lvlJc w:val="left"/>
      <w:pPr>
        <w:ind w:left="5040" w:hanging="360"/>
      </w:pPr>
      <w:rPr>
        <w:rFonts w:ascii="Symbol" w:hAnsi="Symbol" w:hint="default"/>
      </w:rPr>
    </w:lvl>
    <w:lvl w:ilvl="7" w:tplc="B7A0292C" w:tentative="1">
      <w:start w:val="1"/>
      <w:numFmt w:val="bullet"/>
      <w:lvlText w:val="o"/>
      <w:lvlJc w:val="left"/>
      <w:pPr>
        <w:ind w:left="5760" w:hanging="360"/>
      </w:pPr>
      <w:rPr>
        <w:rFonts w:ascii="Courier New" w:hAnsi="Courier New" w:hint="default"/>
      </w:rPr>
    </w:lvl>
    <w:lvl w:ilvl="8" w:tplc="03DED6CC" w:tentative="1">
      <w:start w:val="1"/>
      <w:numFmt w:val="bullet"/>
      <w:lvlText w:val=""/>
      <w:lvlJc w:val="left"/>
      <w:pPr>
        <w:ind w:left="6480" w:hanging="360"/>
      </w:pPr>
      <w:rPr>
        <w:rFonts w:ascii="Wingdings" w:hAnsi="Wingdings" w:hint="default"/>
      </w:rPr>
    </w:lvl>
  </w:abstractNum>
  <w:abstractNum w:abstractNumId="15">
    <w:nsid w:val="45702096"/>
    <w:multiLevelType w:val="hybridMultilevel"/>
    <w:tmpl w:val="3CFCFE98"/>
    <w:lvl w:ilvl="0" w:tplc="04070017">
      <w:start w:val="1"/>
      <w:numFmt w:val="lowerLetter"/>
      <w:lvlText w:val="%1)"/>
      <w:lvlJc w:val="left"/>
      <w:pPr>
        <w:ind w:left="720" w:hanging="360"/>
      </w:pPr>
      <w:rPr>
        <w:rFonts w:cs="Times New Roman" w:hint="default"/>
      </w:rPr>
    </w:lvl>
    <w:lvl w:ilvl="1" w:tplc="973A1DE2">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7360971"/>
    <w:multiLevelType w:val="hybridMultilevel"/>
    <w:tmpl w:val="01CC3BCA"/>
    <w:lvl w:ilvl="0" w:tplc="9BF48E56">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BF63F3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1BC3E2B"/>
    <w:multiLevelType w:val="hybridMultilevel"/>
    <w:tmpl w:val="C49C220C"/>
    <w:lvl w:ilvl="0" w:tplc="CBC6F990">
      <w:start w:val="1"/>
      <w:numFmt w:val="lowerLetter"/>
      <w:lvlText w:val="%1)"/>
      <w:lvlJc w:val="left"/>
      <w:pPr>
        <w:ind w:left="644" w:hanging="360"/>
      </w:pPr>
      <w:rPr>
        <w:rFonts w:cs="Times New Roman" w:hint="default"/>
      </w:rPr>
    </w:lvl>
    <w:lvl w:ilvl="1" w:tplc="04070019" w:tentative="1">
      <w:start w:val="1"/>
      <w:numFmt w:val="lowerLetter"/>
      <w:lvlText w:val="%2."/>
      <w:lvlJc w:val="left"/>
      <w:pPr>
        <w:ind w:left="1364" w:hanging="360"/>
      </w:pPr>
      <w:rPr>
        <w:rFonts w:cs="Times New Roman"/>
      </w:rPr>
    </w:lvl>
    <w:lvl w:ilvl="2" w:tplc="0407001B" w:tentative="1">
      <w:start w:val="1"/>
      <w:numFmt w:val="lowerRoman"/>
      <w:lvlText w:val="%3."/>
      <w:lvlJc w:val="right"/>
      <w:pPr>
        <w:ind w:left="2084" w:hanging="180"/>
      </w:pPr>
      <w:rPr>
        <w:rFonts w:cs="Times New Roman"/>
      </w:rPr>
    </w:lvl>
    <w:lvl w:ilvl="3" w:tplc="0407000F" w:tentative="1">
      <w:start w:val="1"/>
      <w:numFmt w:val="decimal"/>
      <w:lvlText w:val="%4."/>
      <w:lvlJc w:val="left"/>
      <w:pPr>
        <w:ind w:left="2804" w:hanging="360"/>
      </w:pPr>
      <w:rPr>
        <w:rFonts w:cs="Times New Roman"/>
      </w:rPr>
    </w:lvl>
    <w:lvl w:ilvl="4" w:tplc="04070019" w:tentative="1">
      <w:start w:val="1"/>
      <w:numFmt w:val="lowerLetter"/>
      <w:lvlText w:val="%5."/>
      <w:lvlJc w:val="left"/>
      <w:pPr>
        <w:ind w:left="3524" w:hanging="360"/>
      </w:pPr>
      <w:rPr>
        <w:rFonts w:cs="Times New Roman"/>
      </w:rPr>
    </w:lvl>
    <w:lvl w:ilvl="5" w:tplc="0407001B" w:tentative="1">
      <w:start w:val="1"/>
      <w:numFmt w:val="lowerRoman"/>
      <w:lvlText w:val="%6."/>
      <w:lvlJc w:val="right"/>
      <w:pPr>
        <w:ind w:left="4244" w:hanging="180"/>
      </w:pPr>
      <w:rPr>
        <w:rFonts w:cs="Times New Roman"/>
      </w:rPr>
    </w:lvl>
    <w:lvl w:ilvl="6" w:tplc="0407000F" w:tentative="1">
      <w:start w:val="1"/>
      <w:numFmt w:val="decimal"/>
      <w:lvlText w:val="%7."/>
      <w:lvlJc w:val="left"/>
      <w:pPr>
        <w:ind w:left="4964" w:hanging="360"/>
      </w:pPr>
      <w:rPr>
        <w:rFonts w:cs="Times New Roman"/>
      </w:rPr>
    </w:lvl>
    <w:lvl w:ilvl="7" w:tplc="04070019" w:tentative="1">
      <w:start w:val="1"/>
      <w:numFmt w:val="lowerLetter"/>
      <w:lvlText w:val="%8."/>
      <w:lvlJc w:val="left"/>
      <w:pPr>
        <w:ind w:left="5684" w:hanging="360"/>
      </w:pPr>
      <w:rPr>
        <w:rFonts w:cs="Times New Roman"/>
      </w:rPr>
    </w:lvl>
    <w:lvl w:ilvl="8" w:tplc="0407001B" w:tentative="1">
      <w:start w:val="1"/>
      <w:numFmt w:val="lowerRoman"/>
      <w:lvlText w:val="%9."/>
      <w:lvlJc w:val="right"/>
      <w:pPr>
        <w:ind w:left="6404" w:hanging="180"/>
      </w:pPr>
      <w:rPr>
        <w:rFonts w:cs="Times New Roman"/>
      </w:rPr>
    </w:lvl>
  </w:abstractNum>
  <w:abstractNum w:abstractNumId="19">
    <w:nsid w:val="6497425E"/>
    <w:multiLevelType w:val="hybridMultilevel"/>
    <w:tmpl w:val="48320FDC"/>
    <w:lvl w:ilvl="0" w:tplc="0A6C32E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0C4235"/>
    <w:multiLevelType w:val="hybridMultilevel"/>
    <w:tmpl w:val="773E0CAE"/>
    <w:lvl w:ilvl="0" w:tplc="9A005A3A">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FCE76C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748E3391"/>
    <w:multiLevelType w:val="multilevel"/>
    <w:tmpl w:val="0C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0"/>
  </w:num>
  <w:num w:numId="12">
    <w:abstractNumId w:val="13"/>
  </w:num>
  <w:num w:numId="13">
    <w:abstractNumId w:val="10"/>
  </w:num>
  <w:num w:numId="14">
    <w:abstractNumId w:val="4"/>
  </w:num>
  <w:num w:numId="15">
    <w:abstractNumId w:val="5"/>
  </w:num>
  <w:num w:numId="16">
    <w:abstractNumId w:val="8"/>
  </w:num>
  <w:num w:numId="17">
    <w:abstractNumId w:val="14"/>
  </w:num>
  <w:num w:numId="18">
    <w:abstractNumId w:val="9"/>
  </w:num>
  <w:num w:numId="19">
    <w:abstractNumId w:val="19"/>
  </w:num>
  <w:num w:numId="20">
    <w:abstractNumId w:val="6"/>
  </w:num>
  <w:num w:numId="21">
    <w:abstractNumId w:val="16"/>
  </w:num>
  <w:num w:numId="22">
    <w:abstractNumId w:val="3"/>
  </w:num>
  <w:num w:numId="23">
    <w:abstractNumId w:val="7"/>
  </w:num>
  <w:num w:numId="24">
    <w:abstractNumId w:val="15"/>
  </w:num>
  <w:num w:numId="25">
    <w:abstractNumId w:val="11"/>
  </w:num>
  <w:num w:numId="26">
    <w:abstractNumId w:val="20"/>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2"/>
  </w:num>
  <w:num w:numId="30">
    <w:abstractNumId w:val="21"/>
  </w:num>
  <w:num w:numId="31">
    <w:abstractNumId w:val="22"/>
  </w:num>
  <w:num w:numId="32">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attachedTemplate r:id="rId1"/>
  <w:defaultTabStop w:val="284"/>
  <w:autoHyphenation/>
  <w:hyphenationZone w:val="425"/>
  <w:doNotHyphenateCaps/>
  <w:drawingGridHorizontalSpacing w:val="105"/>
  <w:drawingGridVerticalSpacing w:val="120"/>
  <w:displayHorizontalDrawingGridEvery w:val="2"/>
  <w:displayVerticalDrawingGridEvery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2F6D"/>
    <w:rsid w:val="0000017E"/>
    <w:rsid w:val="000013C8"/>
    <w:rsid w:val="00003726"/>
    <w:rsid w:val="0000415A"/>
    <w:rsid w:val="000052AD"/>
    <w:rsid w:val="00007FC9"/>
    <w:rsid w:val="00017632"/>
    <w:rsid w:val="00021DE9"/>
    <w:rsid w:val="00024E11"/>
    <w:rsid w:val="00025BFF"/>
    <w:rsid w:val="00032A4F"/>
    <w:rsid w:val="000345E1"/>
    <w:rsid w:val="00040402"/>
    <w:rsid w:val="000463B6"/>
    <w:rsid w:val="00047D75"/>
    <w:rsid w:val="00050609"/>
    <w:rsid w:val="00051117"/>
    <w:rsid w:val="0005783E"/>
    <w:rsid w:val="000604D5"/>
    <w:rsid w:val="00064F0B"/>
    <w:rsid w:val="0006614C"/>
    <w:rsid w:val="000723C8"/>
    <w:rsid w:val="000735EC"/>
    <w:rsid w:val="00075570"/>
    <w:rsid w:val="0008130F"/>
    <w:rsid w:val="00083105"/>
    <w:rsid w:val="00085C71"/>
    <w:rsid w:val="000926A1"/>
    <w:rsid w:val="000A112E"/>
    <w:rsid w:val="000A2543"/>
    <w:rsid w:val="000A284D"/>
    <w:rsid w:val="000A321B"/>
    <w:rsid w:val="000A55AC"/>
    <w:rsid w:val="000B02D2"/>
    <w:rsid w:val="000B082F"/>
    <w:rsid w:val="000B19E2"/>
    <w:rsid w:val="000B6A40"/>
    <w:rsid w:val="000C27E6"/>
    <w:rsid w:val="000C2870"/>
    <w:rsid w:val="000C780C"/>
    <w:rsid w:val="000D3D03"/>
    <w:rsid w:val="000D7455"/>
    <w:rsid w:val="000E3D3F"/>
    <w:rsid w:val="000E3EDB"/>
    <w:rsid w:val="000E44E3"/>
    <w:rsid w:val="000F265B"/>
    <w:rsid w:val="000F30BE"/>
    <w:rsid w:val="000F4C50"/>
    <w:rsid w:val="000F517D"/>
    <w:rsid w:val="000F7122"/>
    <w:rsid w:val="0010072F"/>
    <w:rsid w:val="001018A1"/>
    <w:rsid w:val="00103366"/>
    <w:rsid w:val="00103C2D"/>
    <w:rsid w:val="00112CA0"/>
    <w:rsid w:val="0011475B"/>
    <w:rsid w:val="00116C0D"/>
    <w:rsid w:val="001173F0"/>
    <w:rsid w:val="001326C0"/>
    <w:rsid w:val="001360E5"/>
    <w:rsid w:val="001406E9"/>
    <w:rsid w:val="00141326"/>
    <w:rsid w:val="0014412B"/>
    <w:rsid w:val="00144166"/>
    <w:rsid w:val="00144D3F"/>
    <w:rsid w:val="001471EE"/>
    <w:rsid w:val="0015026E"/>
    <w:rsid w:val="001502D8"/>
    <w:rsid w:val="00150DF2"/>
    <w:rsid w:val="00150E62"/>
    <w:rsid w:val="0015383D"/>
    <w:rsid w:val="00154117"/>
    <w:rsid w:val="00154B2C"/>
    <w:rsid w:val="001627E0"/>
    <w:rsid w:val="00163D8E"/>
    <w:rsid w:val="001701BA"/>
    <w:rsid w:val="00171037"/>
    <w:rsid w:val="00171AFE"/>
    <w:rsid w:val="00171E4E"/>
    <w:rsid w:val="00172F61"/>
    <w:rsid w:val="001749BF"/>
    <w:rsid w:val="00176C59"/>
    <w:rsid w:val="001872D6"/>
    <w:rsid w:val="00191DE9"/>
    <w:rsid w:val="00192FB1"/>
    <w:rsid w:val="00194E19"/>
    <w:rsid w:val="00195701"/>
    <w:rsid w:val="00195896"/>
    <w:rsid w:val="00195DCB"/>
    <w:rsid w:val="001A4C05"/>
    <w:rsid w:val="001B174E"/>
    <w:rsid w:val="001B1CC4"/>
    <w:rsid w:val="001B4F22"/>
    <w:rsid w:val="001B6C0C"/>
    <w:rsid w:val="001C4CA3"/>
    <w:rsid w:val="001D4662"/>
    <w:rsid w:val="001D49E3"/>
    <w:rsid w:val="001D7238"/>
    <w:rsid w:val="001D756B"/>
    <w:rsid w:val="001D7B83"/>
    <w:rsid w:val="001E6CF7"/>
    <w:rsid w:val="001F3731"/>
    <w:rsid w:val="001F6AC8"/>
    <w:rsid w:val="002012A4"/>
    <w:rsid w:val="0020470B"/>
    <w:rsid w:val="00206F40"/>
    <w:rsid w:val="00213CCE"/>
    <w:rsid w:val="00216CE2"/>
    <w:rsid w:val="00216D13"/>
    <w:rsid w:val="0022206E"/>
    <w:rsid w:val="00223F85"/>
    <w:rsid w:val="0022401A"/>
    <w:rsid w:val="00224515"/>
    <w:rsid w:val="002245A4"/>
    <w:rsid w:val="00225213"/>
    <w:rsid w:val="00230666"/>
    <w:rsid w:val="00232CA3"/>
    <w:rsid w:val="00233611"/>
    <w:rsid w:val="00234227"/>
    <w:rsid w:val="0023478B"/>
    <w:rsid w:val="00235DF2"/>
    <w:rsid w:val="0023777A"/>
    <w:rsid w:val="00240598"/>
    <w:rsid w:val="002463C8"/>
    <w:rsid w:val="0024779A"/>
    <w:rsid w:val="002518CC"/>
    <w:rsid w:val="00251B05"/>
    <w:rsid w:val="00252A06"/>
    <w:rsid w:val="002541CF"/>
    <w:rsid w:val="00256152"/>
    <w:rsid w:val="00257330"/>
    <w:rsid w:val="002606BA"/>
    <w:rsid w:val="00263C38"/>
    <w:rsid w:val="002653F1"/>
    <w:rsid w:val="00265E07"/>
    <w:rsid w:val="00265FD1"/>
    <w:rsid w:val="00267A42"/>
    <w:rsid w:val="00267E55"/>
    <w:rsid w:val="002715C3"/>
    <w:rsid w:val="00272634"/>
    <w:rsid w:val="0027618C"/>
    <w:rsid w:val="00276316"/>
    <w:rsid w:val="002804C9"/>
    <w:rsid w:val="002805E1"/>
    <w:rsid w:val="0028093C"/>
    <w:rsid w:val="0028217D"/>
    <w:rsid w:val="00291055"/>
    <w:rsid w:val="002927C6"/>
    <w:rsid w:val="0029721A"/>
    <w:rsid w:val="002A0AD8"/>
    <w:rsid w:val="002A21C8"/>
    <w:rsid w:val="002A3840"/>
    <w:rsid w:val="002A4FF9"/>
    <w:rsid w:val="002B3D7D"/>
    <w:rsid w:val="002B54B0"/>
    <w:rsid w:val="002C0955"/>
    <w:rsid w:val="002C15D8"/>
    <w:rsid w:val="002C4AB9"/>
    <w:rsid w:val="002C698F"/>
    <w:rsid w:val="002D187B"/>
    <w:rsid w:val="002D380C"/>
    <w:rsid w:val="002D600D"/>
    <w:rsid w:val="002D750A"/>
    <w:rsid w:val="002E13F0"/>
    <w:rsid w:val="002E2F5E"/>
    <w:rsid w:val="002E6A20"/>
    <w:rsid w:val="002E7C7F"/>
    <w:rsid w:val="002F1D41"/>
    <w:rsid w:val="002F29D3"/>
    <w:rsid w:val="002F2C63"/>
    <w:rsid w:val="002F574A"/>
    <w:rsid w:val="002F6EBD"/>
    <w:rsid w:val="00301EF9"/>
    <w:rsid w:val="003028CA"/>
    <w:rsid w:val="00311E2D"/>
    <w:rsid w:val="00315537"/>
    <w:rsid w:val="00320583"/>
    <w:rsid w:val="003205CA"/>
    <w:rsid w:val="0032298D"/>
    <w:rsid w:val="00322FF9"/>
    <w:rsid w:val="003243A6"/>
    <w:rsid w:val="00324D6B"/>
    <w:rsid w:val="0032501A"/>
    <w:rsid w:val="00326B98"/>
    <w:rsid w:val="00333A3B"/>
    <w:rsid w:val="0033422D"/>
    <w:rsid w:val="00334767"/>
    <w:rsid w:val="00337FD7"/>
    <w:rsid w:val="0034420D"/>
    <w:rsid w:val="00345B7D"/>
    <w:rsid w:val="003538E2"/>
    <w:rsid w:val="00354989"/>
    <w:rsid w:val="00356DA3"/>
    <w:rsid w:val="003617FE"/>
    <w:rsid w:val="003619C1"/>
    <w:rsid w:val="0036211A"/>
    <w:rsid w:val="003633FC"/>
    <w:rsid w:val="003638E1"/>
    <w:rsid w:val="0037260C"/>
    <w:rsid w:val="00372AD9"/>
    <w:rsid w:val="00373B0D"/>
    <w:rsid w:val="0037543C"/>
    <w:rsid w:val="00375B68"/>
    <w:rsid w:val="00375D63"/>
    <w:rsid w:val="00380A8B"/>
    <w:rsid w:val="003813C6"/>
    <w:rsid w:val="0038346A"/>
    <w:rsid w:val="00383C8F"/>
    <w:rsid w:val="00390B00"/>
    <w:rsid w:val="003A73C2"/>
    <w:rsid w:val="003B1A02"/>
    <w:rsid w:val="003B494F"/>
    <w:rsid w:val="003B7198"/>
    <w:rsid w:val="003C10BA"/>
    <w:rsid w:val="003C1947"/>
    <w:rsid w:val="003C4AFC"/>
    <w:rsid w:val="003C57DD"/>
    <w:rsid w:val="003C5B4D"/>
    <w:rsid w:val="003D4B66"/>
    <w:rsid w:val="003D4E10"/>
    <w:rsid w:val="003D54FF"/>
    <w:rsid w:val="003D5DA0"/>
    <w:rsid w:val="003D66EE"/>
    <w:rsid w:val="003E1AC4"/>
    <w:rsid w:val="003E1D83"/>
    <w:rsid w:val="003E1F7B"/>
    <w:rsid w:val="003E29F7"/>
    <w:rsid w:val="003E6F65"/>
    <w:rsid w:val="003F0ED1"/>
    <w:rsid w:val="003F1931"/>
    <w:rsid w:val="003F2E9D"/>
    <w:rsid w:val="003F45BD"/>
    <w:rsid w:val="003F7328"/>
    <w:rsid w:val="00401FFD"/>
    <w:rsid w:val="0040595C"/>
    <w:rsid w:val="00406E0F"/>
    <w:rsid w:val="004101DE"/>
    <w:rsid w:val="004111B1"/>
    <w:rsid w:val="00413B10"/>
    <w:rsid w:val="0041526D"/>
    <w:rsid w:val="004172E3"/>
    <w:rsid w:val="0042097C"/>
    <w:rsid w:val="00432D11"/>
    <w:rsid w:val="0043404C"/>
    <w:rsid w:val="004360FA"/>
    <w:rsid w:val="00446703"/>
    <w:rsid w:val="0044749E"/>
    <w:rsid w:val="00450F4D"/>
    <w:rsid w:val="004514BE"/>
    <w:rsid w:val="00452714"/>
    <w:rsid w:val="00453300"/>
    <w:rsid w:val="0045381F"/>
    <w:rsid w:val="00454390"/>
    <w:rsid w:val="00456A19"/>
    <w:rsid w:val="0046086F"/>
    <w:rsid w:val="00460B31"/>
    <w:rsid w:val="00462C07"/>
    <w:rsid w:val="00467C82"/>
    <w:rsid w:val="00470A9D"/>
    <w:rsid w:val="00470D8A"/>
    <w:rsid w:val="00471D54"/>
    <w:rsid w:val="00473FDE"/>
    <w:rsid w:val="004747A0"/>
    <w:rsid w:val="004753C3"/>
    <w:rsid w:val="00480DF1"/>
    <w:rsid w:val="00481A0C"/>
    <w:rsid w:val="00482215"/>
    <w:rsid w:val="00482E22"/>
    <w:rsid w:val="0048418D"/>
    <w:rsid w:val="00485246"/>
    <w:rsid w:val="00486EE9"/>
    <w:rsid w:val="00490046"/>
    <w:rsid w:val="00493322"/>
    <w:rsid w:val="0049414B"/>
    <w:rsid w:val="00494A0E"/>
    <w:rsid w:val="004960B1"/>
    <w:rsid w:val="0049728B"/>
    <w:rsid w:val="004A0CCA"/>
    <w:rsid w:val="004A0DD3"/>
    <w:rsid w:val="004A239D"/>
    <w:rsid w:val="004A35E4"/>
    <w:rsid w:val="004A4C92"/>
    <w:rsid w:val="004A51E7"/>
    <w:rsid w:val="004A5BC5"/>
    <w:rsid w:val="004B15ED"/>
    <w:rsid w:val="004B1BFF"/>
    <w:rsid w:val="004B1C8C"/>
    <w:rsid w:val="004B2938"/>
    <w:rsid w:val="004B4C42"/>
    <w:rsid w:val="004B6CB0"/>
    <w:rsid w:val="004B767B"/>
    <w:rsid w:val="004C3A6B"/>
    <w:rsid w:val="004C47FE"/>
    <w:rsid w:val="004C49D1"/>
    <w:rsid w:val="004C65D9"/>
    <w:rsid w:val="004D31C6"/>
    <w:rsid w:val="004D320A"/>
    <w:rsid w:val="004D6180"/>
    <w:rsid w:val="004D61AD"/>
    <w:rsid w:val="004D79E5"/>
    <w:rsid w:val="004E10C8"/>
    <w:rsid w:val="004E2BFB"/>
    <w:rsid w:val="004E2FE2"/>
    <w:rsid w:val="004E4237"/>
    <w:rsid w:val="004E5242"/>
    <w:rsid w:val="004F0351"/>
    <w:rsid w:val="004F331F"/>
    <w:rsid w:val="004F41C5"/>
    <w:rsid w:val="004F58A7"/>
    <w:rsid w:val="004F6519"/>
    <w:rsid w:val="004F7041"/>
    <w:rsid w:val="004F7965"/>
    <w:rsid w:val="004F7EAC"/>
    <w:rsid w:val="00504D15"/>
    <w:rsid w:val="00505497"/>
    <w:rsid w:val="00506D58"/>
    <w:rsid w:val="0050724F"/>
    <w:rsid w:val="00507DE0"/>
    <w:rsid w:val="00512B78"/>
    <w:rsid w:val="00513B3B"/>
    <w:rsid w:val="00513BDB"/>
    <w:rsid w:val="00521B22"/>
    <w:rsid w:val="0052259D"/>
    <w:rsid w:val="0052289C"/>
    <w:rsid w:val="00522A29"/>
    <w:rsid w:val="0052791E"/>
    <w:rsid w:val="0053196A"/>
    <w:rsid w:val="00534FD8"/>
    <w:rsid w:val="005351D0"/>
    <w:rsid w:val="00535540"/>
    <w:rsid w:val="005364A7"/>
    <w:rsid w:val="005369DF"/>
    <w:rsid w:val="00536DE3"/>
    <w:rsid w:val="00537712"/>
    <w:rsid w:val="005412A0"/>
    <w:rsid w:val="00544FA9"/>
    <w:rsid w:val="005540BF"/>
    <w:rsid w:val="00554CE9"/>
    <w:rsid w:val="00555D10"/>
    <w:rsid w:val="00560F63"/>
    <w:rsid w:val="0056220B"/>
    <w:rsid w:val="00564920"/>
    <w:rsid w:val="005656B0"/>
    <w:rsid w:val="0056614D"/>
    <w:rsid w:val="00567F8B"/>
    <w:rsid w:val="00570785"/>
    <w:rsid w:val="00570A0B"/>
    <w:rsid w:val="00570CBE"/>
    <w:rsid w:val="00571CDB"/>
    <w:rsid w:val="005764A5"/>
    <w:rsid w:val="00576772"/>
    <w:rsid w:val="00580C60"/>
    <w:rsid w:val="00583A78"/>
    <w:rsid w:val="005957EE"/>
    <w:rsid w:val="005A14BC"/>
    <w:rsid w:val="005A372E"/>
    <w:rsid w:val="005A37F2"/>
    <w:rsid w:val="005A383A"/>
    <w:rsid w:val="005A42D9"/>
    <w:rsid w:val="005A54D2"/>
    <w:rsid w:val="005A552D"/>
    <w:rsid w:val="005B1FB9"/>
    <w:rsid w:val="005B4793"/>
    <w:rsid w:val="005B4A68"/>
    <w:rsid w:val="005B5B25"/>
    <w:rsid w:val="005B5E07"/>
    <w:rsid w:val="005B7CCA"/>
    <w:rsid w:val="005C06E6"/>
    <w:rsid w:val="005C2529"/>
    <w:rsid w:val="005C37B4"/>
    <w:rsid w:val="005C42FF"/>
    <w:rsid w:val="005C6646"/>
    <w:rsid w:val="005D1476"/>
    <w:rsid w:val="005E1CE1"/>
    <w:rsid w:val="005F23A6"/>
    <w:rsid w:val="005F65CD"/>
    <w:rsid w:val="00601136"/>
    <w:rsid w:val="0060206C"/>
    <w:rsid w:val="00602286"/>
    <w:rsid w:val="00605258"/>
    <w:rsid w:val="00605E62"/>
    <w:rsid w:val="006127DC"/>
    <w:rsid w:val="00613533"/>
    <w:rsid w:val="00613DB2"/>
    <w:rsid w:val="00616E31"/>
    <w:rsid w:val="00617463"/>
    <w:rsid w:val="0062117D"/>
    <w:rsid w:val="00621AFB"/>
    <w:rsid w:val="00624025"/>
    <w:rsid w:val="0062434A"/>
    <w:rsid w:val="00624383"/>
    <w:rsid w:val="006260E1"/>
    <w:rsid w:val="0062640C"/>
    <w:rsid w:val="00634885"/>
    <w:rsid w:val="00634E33"/>
    <w:rsid w:val="00635ACA"/>
    <w:rsid w:val="00635BCC"/>
    <w:rsid w:val="006374D0"/>
    <w:rsid w:val="00637B4E"/>
    <w:rsid w:val="00642C8E"/>
    <w:rsid w:val="00643D62"/>
    <w:rsid w:val="0064475D"/>
    <w:rsid w:val="0065220A"/>
    <w:rsid w:val="00655A76"/>
    <w:rsid w:val="0066015B"/>
    <w:rsid w:val="0066116B"/>
    <w:rsid w:val="00663DEE"/>
    <w:rsid w:val="006647D5"/>
    <w:rsid w:val="0069003A"/>
    <w:rsid w:val="006937E9"/>
    <w:rsid w:val="00694F0A"/>
    <w:rsid w:val="0069631D"/>
    <w:rsid w:val="00696898"/>
    <w:rsid w:val="00696FDC"/>
    <w:rsid w:val="006A0088"/>
    <w:rsid w:val="006A2523"/>
    <w:rsid w:val="006A4016"/>
    <w:rsid w:val="006A4BD5"/>
    <w:rsid w:val="006A51FF"/>
    <w:rsid w:val="006A53B9"/>
    <w:rsid w:val="006A7088"/>
    <w:rsid w:val="006B05E6"/>
    <w:rsid w:val="006B23BC"/>
    <w:rsid w:val="006B6208"/>
    <w:rsid w:val="006B6903"/>
    <w:rsid w:val="006B6D2C"/>
    <w:rsid w:val="006B7D6C"/>
    <w:rsid w:val="006C28EA"/>
    <w:rsid w:val="006C3B8C"/>
    <w:rsid w:val="006C4769"/>
    <w:rsid w:val="006C685D"/>
    <w:rsid w:val="006C7C14"/>
    <w:rsid w:val="006D2AA2"/>
    <w:rsid w:val="006D3485"/>
    <w:rsid w:val="006D435B"/>
    <w:rsid w:val="006E4655"/>
    <w:rsid w:val="006E6698"/>
    <w:rsid w:val="006F3918"/>
    <w:rsid w:val="006F5061"/>
    <w:rsid w:val="006F782B"/>
    <w:rsid w:val="0070509B"/>
    <w:rsid w:val="0070541D"/>
    <w:rsid w:val="007061D8"/>
    <w:rsid w:val="00706E7B"/>
    <w:rsid w:val="00713409"/>
    <w:rsid w:val="00713E77"/>
    <w:rsid w:val="007153E7"/>
    <w:rsid w:val="00715FD2"/>
    <w:rsid w:val="00717DE9"/>
    <w:rsid w:val="007227B9"/>
    <w:rsid w:val="00723D69"/>
    <w:rsid w:val="0072565F"/>
    <w:rsid w:val="00725C6D"/>
    <w:rsid w:val="0073290A"/>
    <w:rsid w:val="0073381B"/>
    <w:rsid w:val="00734535"/>
    <w:rsid w:val="007347A9"/>
    <w:rsid w:val="007348F9"/>
    <w:rsid w:val="007354F7"/>
    <w:rsid w:val="007365CA"/>
    <w:rsid w:val="00737BFF"/>
    <w:rsid w:val="00740B57"/>
    <w:rsid w:val="00740C09"/>
    <w:rsid w:val="00742EF9"/>
    <w:rsid w:val="007500E0"/>
    <w:rsid w:val="00750303"/>
    <w:rsid w:val="007532AF"/>
    <w:rsid w:val="007536E3"/>
    <w:rsid w:val="007543E8"/>
    <w:rsid w:val="00754609"/>
    <w:rsid w:val="00757E3A"/>
    <w:rsid w:val="007617E6"/>
    <w:rsid w:val="00761816"/>
    <w:rsid w:val="00763060"/>
    <w:rsid w:val="007641AC"/>
    <w:rsid w:val="00774CAC"/>
    <w:rsid w:val="00775313"/>
    <w:rsid w:val="007815CF"/>
    <w:rsid w:val="00784B5D"/>
    <w:rsid w:val="00785D23"/>
    <w:rsid w:val="00785EF4"/>
    <w:rsid w:val="00786508"/>
    <w:rsid w:val="007949B8"/>
    <w:rsid w:val="00794D79"/>
    <w:rsid w:val="00795070"/>
    <w:rsid w:val="007A26C5"/>
    <w:rsid w:val="007A4E9B"/>
    <w:rsid w:val="007B11CE"/>
    <w:rsid w:val="007B1410"/>
    <w:rsid w:val="007B6D38"/>
    <w:rsid w:val="007B7691"/>
    <w:rsid w:val="007C2B5C"/>
    <w:rsid w:val="007C381F"/>
    <w:rsid w:val="007C4089"/>
    <w:rsid w:val="007C4136"/>
    <w:rsid w:val="007D53A9"/>
    <w:rsid w:val="007D5CDD"/>
    <w:rsid w:val="007D64E6"/>
    <w:rsid w:val="007D6E9D"/>
    <w:rsid w:val="007E7612"/>
    <w:rsid w:val="007F2265"/>
    <w:rsid w:val="007F3260"/>
    <w:rsid w:val="007F37A8"/>
    <w:rsid w:val="007F3AD4"/>
    <w:rsid w:val="007F3B17"/>
    <w:rsid w:val="007F6059"/>
    <w:rsid w:val="00800BED"/>
    <w:rsid w:val="0080574F"/>
    <w:rsid w:val="00807E4E"/>
    <w:rsid w:val="008104ED"/>
    <w:rsid w:val="008132E6"/>
    <w:rsid w:val="008136E3"/>
    <w:rsid w:val="00813EDC"/>
    <w:rsid w:val="00814A03"/>
    <w:rsid w:val="00816536"/>
    <w:rsid w:val="0081684C"/>
    <w:rsid w:val="00816CF1"/>
    <w:rsid w:val="008205B5"/>
    <w:rsid w:val="008220DF"/>
    <w:rsid w:val="00823170"/>
    <w:rsid w:val="00833D9D"/>
    <w:rsid w:val="00834B82"/>
    <w:rsid w:val="00837AC7"/>
    <w:rsid w:val="00841B81"/>
    <w:rsid w:val="008426C3"/>
    <w:rsid w:val="00842BD1"/>
    <w:rsid w:val="0084799B"/>
    <w:rsid w:val="0086056E"/>
    <w:rsid w:val="008709BB"/>
    <w:rsid w:val="00870D8C"/>
    <w:rsid w:val="00876213"/>
    <w:rsid w:val="0087637A"/>
    <w:rsid w:val="0088078B"/>
    <w:rsid w:val="00880B19"/>
    <w:rsid w:val="008827AF"/>
    <w:rsid w:val="00887EDA"/>
    <w:rsid w:val="008939C9"/>
    <w:rsid w:val="008A1C82"/>
    <w:rsid w:val="008A2548"/>
    <w:rsid w:val="008A31CD"/>
    <w:rsid w:val="008A379F"/>
    <w:rsid w:val="008A41E6"/>
    <w:rsid w:val="008A5632"/>
    <w:rsid w:val="008B22FD"/>
    <w:rsid w:val="008B580A"/>
    <w:rsid w:val="008B7084"/>
    <w:rsid w:val="008C0ED5"/>
    <w:rsid w:val="008C14F5"/>
    <w:rsid w:val="008C37BA"/>
    <w:rsid w:val="008C599E"/>
    <w:rsid w:val="008D764A"/>
    <w:rsid w:val="008E0AED"/>
    <w:rsid w:val="008E1902"/>
    <w:rsid w:val="008E38BF"/>
    <w:rsid w:val="008E3D7F"/>
    <w:rsid w:val="008E42D5"/>
    <w:rsid w:val="008E6A02"/>
    <w:rsid w:val="008E7382"/>
    <w:rsid w:val="008E7929"/>
    <w:rsid w:val="008F1AE4"/>
    <w:rsid w:val="008F1B46"/>
    <w:rsid w:val="008F1FD5"/>
    <w:rsid w:val="008F2073"/>
    <w:rsid w:val="00900063"/>
    <w:rsid w:val="00900972"/>
    <w:rsid w:val="00903A61"/>
    <w:rsid w:val="00910C2E"/>
    <w:rsid w:val="0091427C"/>
    <w:rsid w:val="00914564"/>
    <w:rsid w:val="00917616"/>
    <w:rsid w:val="00920231"/>
    <w:rsid w:val="00920A74"/>
    <w:rsid w:val="00920FCC"/>
    <w:rsid w:val="0092257C"/>
    <w:rsid w:val="009227F7"/>
    <w:rsid w:val="00930B66"/>
    <w:rsid w:val="00936D0B"/>
    <w:rsid w:val="009371A1"/>
    <w:rsid w:val="00940F4D"/>
    <w:rsid w:val="00943CE3"/>
    <w:rsid w:val="00944A92"/>
    <w:rsid w:val="00945888"/>
    <w:rsid w:val="00947577"/>
    <w:rsid w:val="00951AE1"/>
    <w:rsid w:val="00954F73"/>
    <w:rsid w:val="00960497"/>
    <w:rsid w:val="009641FD"/>
    <w:rsid w:val="009716C8"/>
    <w:rsid w:val="00972799"/>
    <w:rsid w:val="009732CC"/>
    <w:rsid w:val="00975AED"/>
    <w:rsid w:val="009764BD"/>
    <w:rsid w:val="009775E2"/>
    <w:rsid w:val="00981DF8"/>
    <w:rsid w:val="00983207"/>
    <w:rsid w:val="00984153"/>
    <w:rsid w:val="009859FF"/>
    <w:rsid w:val="00985C52"/>
    <w:rsid w:val="00990B92"/>
    <w:rsid w:val="0099582E"/>
    <w:rsid w:val="00997EDD"/>
    <w:rsid w:val="009A25B1"/>
    <w:rsid w:val="009A6B00"/>
    <w:rsid w:val="009A77A3"/>
    <w:rsid w:val="009A792C"/>
    <w:rsid w:val="009B02FD"/>
    <w:rsid w:val="009B0504"/>
    <w:rsid w:val="009B3DD4"/>
    <w:rsid w:val="009B4330"/>
    <w:rsid w:val="009C033E"/>
    <w:rsid w:val="009C42A1"/>
    <w:rsid w:val="009C4E45"/>
    <w:rsid w:val="009D0FC7"/>
    <w:rsid w:val="009D3132"/>
    <w:rsid w:val="009D3FF4"/>
    <w:rsid w:val="009D74D9"/>
    <w:rsid w:val="009E4BAF"/>
    <w:rsid w:val="009E6F3E"/>
    <w:rsid w:val="009F1794"/>
    <w:rsid w:val="009F4504"/>
    <w:rsid w:val="009F6241"/>
    <w:rsid w:val="009F6452"/>
    <w:rsid w:val="009F6E94"/>
    <w:rsid w:val="00A02F30"/>
    <w:rsid w:val="00A044D9"/>
    <w:rsid w:val="00A0702F"/>
    <w:rsid w:val="00A12DD6"/>
    <w:rsid w:val="00A15E3E"/>
    <w:rsid w:val="00A1626A"/>
    <w:rsid w:val="00A1727E"/>
    <w:rsid w:val="00A22171"/>
    <w:rsid w:val="00A225F6"/>
    <w:rsid w:val="00A23F27"/>
    <w:rsid w:val="00A24C78"/>
    <w:rsid w:val="00A267EA"/>
    <w:rsid w:val="00A302FA"/>
    <w:rsid w:val="00A30391"/>
    <w:rsid w:val="00A414C2"/>
    <w:rsid w:val="00A47F48"/>
    <w:rsid w:val="00A51150"/>
    <w:rsid w:val="00A52819"/>
    <w:rsid w:val="00A548DA"/>
    <w:rsid w:val="00A6067E"/>
    <w:rsid w:val="00A62CA4"/>
    <w:rsid w:val="00A6309F"/>
    <w:rsid w:val="00A71881"/>
    <w:rsid w:val="00A771C4"/>
    <w:rsid w:val="00A84710"/>
    <w:rsid w:val="00A87959"/>
    <w:rsid w:val="00A90E8C"/>
    <w:rsid w:val="00A91138"/>
    <w:rsid w:val="00AA08FF"/>
    <w:rsid w:val="00AA185E"/>
    <w:rsid w:val="00AA5FDC"/>
    <w:rsid w:val="00AA6BC4"/>
    <w:rsid w:val="00AB0D06"/>
    <w:rsid w:val="00AB0D4E"/>
    <w:rsid w:val="00AB1AE3"/>
    <w:rsid w:val="00AB1E06"/>
    <w:rsid w:val="00AB3C46"/>
    <w:rsid w:val="00AB464B"/>
    <w:rsid w:val="00AB5036"/>
    <w:rsid w:val="00AB5C5A"/>
    <w:rsid w:val="00AC1F71"/>
    <w:rsid w:val="00AC511C"/>
    <w:rsid w:val="00AC5402"/>
    <w:rsid w:val="00AC59FE"/>
    <w:rsid w:val="00AD237F"/>
    <w:rsid w:val="00AE06A7"/>
    <w:rsid w:val="00AE231E"/>
    <w:rsid w:val="00AE459E"/>
    <w:rsid w:val="00AE5CF5"/>
    <w:rsid w:val="00AF3EF4"/>
    <w:rsid w:val="00AF684A"/>
    <w:rsid w:val="00B00605"/>
    <w:rsid w:val="00B00C02"/>
    <w:rsid w:val="00B00E08"/>
    <w:rsid w:val="00B02872"/>
    <w:rsid w:val="00B02CFD"/>
    <w:rsid w:val="00B03F22"/>
    <w:rsid w:val="00B0782A"/>
    <w:rsid w:val="00B07CAC"/>
    <w:rsid w:val="00B10234"/>
    <w:rsid w:val="00B158E1"/>
    <w:rsid w:val="00B17F7F"/>
    <w:rsid w:val="00B20D34"/>
    <w:rsid w:val="00B21935"/>
    <w:rsid w:val="00B21D72"/>
    <w:rsid w:val="00B22117"/>
    <w:rsid w:val="00B2243E"/>
    <w:rsid w:val="00B23164"/>
    <w:rsid w:val="00B239C2"/>
    <w:rsid w:val="00B23DF6"/>
    <w:rsid w:val="00B2436B"/>
    <w:rsid w:val="00B305C0"/>
    <w:rsid w:val="00B3291E"/>
    <w:rsid w:val="00B415C4"/>
    <w:rsid w:val="00B41B79"/>
    <w:rsid w:val="00B43576"/>
    <w:rsid w:val="00B46F2C"/>
    <w:rsid w:val="00B50800"/>
    <w:rsid w:val="00B52F86"/>
    <w:rsid w:val="00B548B1"/>
    <w:rsid w:val="00B57089"/>
    <w:rsid w:val="00B619E3"/>
    <w:rsid w:val="00B63A54"/>
    <w:rsid w:val="00B64849"/>
    <w:rsid w:val="00B72500"/>
    <w:rsid w:val="00B741CB"/>
    <w:rsid w:val="00B76F00"/>
    <w:rsid w:val="00B83145"/>
    <w:rsid w:val="00B8367D"/>
    <w:rsid w:val="00B83E99"/>
    <w:rsid w:val="00B8531C"/>
    <w:rsid w:val="00B8740C"/>
    <w:rsid w:val="00B932D6"/>
    <w:rsid w:val="00BA4945"/>
    <w:rsid w:val="00BA7928"/>
    <w:rsid w:val="00BB030E"/>
    <w:rsid w:val="00BB3A4B"/>
    <w:rsid w:val="00BB52F6"/>
    <w:rsid w:val="00BB5336"/>
    <w:rsid w:val="00BB5ED1"/>
    <w:rsid w:val="00BB6296"/>
    <w:rsid w:val="00BC256E"/>
    <w:rsid w:val="00BC2B28"/>
    <w:rsid w:val="00BC7ABB"/>
    <w:rsid w:val="00BD0BBF"/>
    <w:rsid w:val="00BD33E8"/>
    <w:rsid w:val="00BD3594"/>
    <w:rsid w:val="00BE1B8C"/>
    <w:rsid w:val="00BE2322"/>
    <w:rsid w:val="00BE2422"/>
    <w:rsid w:val="00BE4401"/>
    <w:rsid w:val="00BF5915"/>
    <w:rsid w:val="00BF655B"/>
    <w:rsid w:val="00BF6C2B"/>
    <w:rsid w:val="00BF78FE"/>
    <w:rsid w:val="00C01236"/>
    <w:rsid w:val="00C0370E"/>
    <w:rsid w:val="00C1131E"/>
    <w:rsid w:val="00C12012"/>
    <w:rsid w:val="00C14087"/>
    <w:rsid w:val="00C14D59"/>
    <w:rsid w:val="00C20651"/>
    <w:rsid w:val="00C21DD0"/>
    <w:rsid w:val="00C2691E"/>
    <w:rsid w:val="00C26B9E"/>
    <w:rsid w:val="00C32D28"/>
    <w:rsid w:val="00C32ED6"/>
    <w:rsid w:val="00C33749"/>
    <w:rsid w:val="00C3378D"/>
    <w:rsid w:val="00C343C1"/>
    <w:rsid w:val="00C35DF4"/>
    <w:rsid w:val="00C3724E"/>
    <w:rsid w:val="00C37D5C"/>
    <w:rsid w:val="00C4056C"/>
    <w:rsid w:val="00C42046"/>
    <w:rsid w:val="00C42804"/>
    <w:rsid w:val="00C444E4"/>
    <w:rsid w:val="00C45C29"/>
    <w:rsid w:val="00C5425D"/>
    <w:rsid w:val="00C566D1"/>
    <w:rsid w:val="00C568F9"/>
    <w:rsid w:val="00C604E5"/>
    <w:rsid w:val="00C6249E"/>
    <w:rsid w:val="00C651CC"/>
    <w:rsid w:val="00C70804"/>
    <w:rsid w:val="00C70A7D"/>
    <w:rsid w:val="00C70B65"/>
    <w:rsid w:val="00C73A61"/>
    <w:rsid w:val="00C73FF8"/>
    <w:rsid w:val="00C7431C"/>
    <w:rsid w:val="00C80900"/>
    <w:rsid w:val="00C818F3"/>
    <w:rsid w:val="00C83797"/>
    <w:rsid w:val="00C8386D"/>
    <w:rsid w:val="00C84500"/>
    <w:rsid w:val="00C84DD9"/>
    <w:rsid w:val="00C84ED1"/>
    <w:rsid w:val="00C857D5"/>
    <w:rsid w:val="00C86A8F"/>
    <w:rsid w:val="00C9530D"/>
    <w:rsid w:val="00CA0BD9"/>
    <w:rsid w:val="00CA1EE1"/>
    <w:rsid w:val="00CA69EB"/>
    <w:rsid w:val="00CA6CA2"/>
    <w:rsid w:val="00CB11CE"/>
    <w:rsid w:val="00CB536A"/>
    <w:rsid w:val="00CB7F01"/>
    <w:rsid w:val="00CC1DA9"/>
    <w:rsid w:val="00CC44BB"/>
    <w:rsid w:val="00CC7CC2"/>
    <w:rsid w:val="00CD1AC4"/>
    <w:rsid w:val="00CD5289"/>
    <w:rsid w:val="00CD567A"/>
    <w:rsid w:val="00CD716E"/>
    <w:rsid w:val="00CE0ABC"/>
    <w:rsid w:val="00CE60D0"/>
    <w:rsid w:val="00CE632E"/>
    <w:rsid w:val="00CE7923"/>
    <w:rsid w:val="00CF3C7E"/>
    <w:rsid w:val="00CF60B4"/>
    <w:rsid w:val="00D00E8F"/>
    <w:rsid w:val="00D06476"/>
    <w:rsid w:val="00D06894"/>
    <w:rsid w:val="00D1106B"/>
    <w:rsid w:val="00D13CB1"/>
    <w:rsid w:val="00D1538C"/>
    <w:rsid w:val="00D211D8"/>
    <w:rsid w:val="00D319AB"/>
    <w:rsid w:val="00D3529A"/>
    <w:rsid w:val="00D35B0D"/>
    <w:rsid w:val="00D37018"/>
    <w:rsid w:val="00D41207"/>
    <w:rsid w:val="00D4776B"/>
    <w:rsid w:val="00D47BA9"/>
    <w:rsid w:val="00D47CD8"/>
    <w:rsid w:val="00D5358E"/>
    <w:rsid w:val="00D54062"/>
    <w:rsid w:val="00D60CBB"/>
    <w:rsid w:val="00D6182F"/>
    <w:rsid w:val="00D61C11"/>
    <w:rsid w:val="00D62712"/>
    <w:rsid w:val="00D62C6B"/>
    <w:rsid w:val="00D64545"/>
    <w:rsid w:val="00D654BB"/>
    <w:rsid w:val="00D67C33"/>
    <w:rsid w:val="00D71ABD"/>
    <w:rsid w:val="00D71DB1"/>
    <w:rsid w:val="00D71FC4"/>
    <w:rsid w:val="00D74A6B"/>
    <w:rsid w:val="00D754D2"/>
    <w:rsid w:val="00D80515"/>
    <w:rsid w:val="00D8093E"/>
    <w:rsid w:val="00D80CD0"/>
    <w:rsid w:val="00D810A2"/>
    <w:rsid w:val="00D825D3"/>
    <w:rsid w:val="00D8622E"/>
    <w:rsid w:val="00D86E5B"/>
    <w:rsid w:val="00D91EB8"/>
    <w:rsid w:val="00D926DE"/>
    <w:rsid w:val="00D93757"/>
    <w:rsid w:val="00DA283A"/>
    <w:rsid w:val="00DA29BB"/>
    <w:rsid w:val="00DA50E1"/>
    <w:rsid w:val="00DA588C"/>
    <w:rsid w:val="00DB0327"/>
    <w:rsid w:val="00DB043E"/>
    <w:rsid w:val="00DB3B08"/>
    <w:rsid w:val="00DC009B"/>
    <w:rsid w:val="00DC097A"/>
    <w:rsid w:val="00DC0F1B"/>
    <w:rsid w:val="00DC1741"/>
    <w:rsid w:val="00DC29CA"/>
    <w:rsid w:val="00DC40A0"/>
    <w:rsid w:val="00DC504D"/>
    <w:rsid w:val="00DC7070"/>
    <w:rsid w:val="00DC7B3E"/>
    <w:rsid w:val="00DD0FD7"/>
    <w:rsid w:val="00DD4176"/>
    <w:rsid w:val="00DD7A20"/>
    <w:rsid w:val="00DE1486"/>
    <w:rsid w:val="00DE5306"/>
    <w:rsid w:val="00DE5FB3"/>
    <w:rsid w:val="00DF160E"/>
    <w:rsid w:val="00DF1D84"/>
    <w:rsid w:val="00DF242D"/>
    <w:rsid w:val="00DF2EEB"/>
    <w:rsid w:val="00DF462F"/>
    <w:rsid w:val="00DF7D7E"/>
    <w:rsid w:val="00E019F7"/>
    <w:rsid w:val="00E036F0"/>
    <w:rsid w:val="00E057A2"/>
    <w:rsid w:val="00E06F46"/>
    <w:rsid w:val="00E11560"/>
    <w:rsid w:val="00E11871"/>
    <w:rsid w:val="00E1296C"/>
    <w:rsid w:val="00E12FD8"/>
    <w:rsid w:val="00E155F5"/>
    <w:rsid w:val="00E15E3D"/>
    <w:rsid w:val="00E1637B"/>
    <w:rsid w:val="00E17B50"/>
    <w:rsid w:val="00E20616"/>
    <w:rsid w:val="00E26AC9"/>
    <w:rsid w:val="00E31212"/>
    <w:rsid w:val="00E36D7F"/>
    <w:rsid w:val="00E3754D"/>
    <w:rsid w:val="00E402EB"/>
    <w:rsid w:val="00E40C13"/>
    <w:rsid w:val="00E43C1F"/>
    <w:rsid w:val="00E46A9F"/>
    <w:rsid w:val="00E46FC0"/>
    <w:rsid w:val="00E47060"/>
    <w:rsid w:val="00E532E6"/>
    <w:rsid w:val="00E54864"/>
    <w:rsid w:val="00E56953"/>
    <w:rsid w:val="00E61CDB"/>
    <w:rsid w:val="00E62A26"/>
    <w:rsid w:val="00E63F1D"/>
    <w:rsid w:val="00E71028"/>
    <w:rsid w:val="00E715FA"/>
    <w:rsid w:val="00E7271C"/>
    <w:rsid w:val="00E73B01"/>
    <w:rsid w:val="00E7415E"/>
    <w:rsid w:val="00E74B4C"/>
    <w:rsid w:val="00E76282"/>
    <w:rsid w:val="00E77AEF"/>
    <w:rsid w:val="00E85280"/>
    <w:rsid w:val="00E87372"/>
    <w:rsid w:val="00E87CB2"/>
    <w:rsid w:val="00E901F0"/>
    <w:rsid w:val="00E91084"/>
    <w:rsid w:val="00E9138C"/>
    <w:rsid w:val="00E91BA2"/>
    <w:rsid w:val="00EA2E90"/>
    <w:rsid w:val="00EB28EC"/>
    <w:rsid w:val="00EC2506"/>
    <w:rsid w:val="00EC38ED"/>
    <w:rsid w:val="00EC4A1D"/>
    <w:rsid w:val="00EC4F7B"/>
    <w:rsid w:val="00EC6232"/>
    <w:rsid w:val="00EC6FC4"/>
    <w:rsid w:val="00EC72E0"/>
    <w:rsid w:val="00ED1A0B"/>
    <w:rsid w:val="00ED2DC7"/>
    <w:rsid w:val="00ED3A0D"/>
    <w:rsid w:val="00ED4453"/>
    <w:rsid w:val="00ED5FCC"/>
    <w:rsid w:val="00ED77D9"/>
    <w:rsid w:val="00EE01A9"/>
    <w:rsid w:val="00EE30CD"/>
    <w:rsid w:val="00EE451C"/>
    <w:rsid w:val="00EE47E0"/>
    <w:rsid w:val="00EE5901"/>
    <w:rsid w:val="00EE77EB"/>
    <w:rsid w:val="00EF10A5"/>
    <w:rsid w:val="00F04334"/>
    <w:rsid w:val="00F04BBA"/>
    <w:rsid w:val="00F04FF0"/>
    <w:rsid w:val="00F100FC"/>
    <w:rsid w:val="00F104F1"/>
    <w:rsid w:val="00F11137"/>
    <w:rsid w:val="00F11651"/>
    <w:rsid w:val="00F13732"/>
    <w:rsid w:val="00F1445F"/>
    <w:rsid w:val="00F16491"/>
    <w:rsid w:val="00F175CE"/>
    <w:rsid w:val="00F21910"/>
    <w:rsid w:val="00F229EA"/>
    <w:rsid w:val="00F24F30"/>
    <w:rsid w:val="00F256AE"/>
    <w:rsid w:val="00F30189"/>
    <w:rsid w:val="00F309E9"/>
    <w:rsid w:val="00F31A9D"/>
    <w:rsid w:val="00F334AA"/>
    <w:rsid w:val="00F41B32"/>
    <w:rsid w:val="00F467C3"/>
    <w:rsid w:val="00F47107"/>
    <w:rsid w:val="00F51A42"/>
    <w:rsid w:val="00F5480A"/>
    <w:rsid w:val="00F56093"/>
    <w:rsid w:val="00F56FD2"/>
    <w:rsid w:val="00F574C6"/>
    <w:rsid w:val="00F6009E"/>
    <w:rsid w:val="00F60A3D"/>
    <w:rsid w:val="00F60DE4"/>
    <w:rsid w:val="00F6128E"/>
    <w:rsid w:val="00F628EF"/>
    <w:rsid w:val="00F6296C"/>
    <w:rsid w:val="00F668FD"/>
    <w:rsid w:val="00F66935"/>
    <w:rsid w:val="00F67A79"/>
    <w:rsid w:val="00F7107D"/>
    <w:rsid w:val="00F71ABF"/>
    <w:rsid w:val="00F733DF"/>
    <w:rsid w:val="00F73D87"/>
    <w:rsid w:val="00F80C4A"/>
    <w:rsid w:val="00F81281"/>
    <w:rsid w:val="00F82F6D"/>
    <w:rsid w:val="00F83167"/>
    <w:rsid w:val="00F83E1E"/>
    <w:rsid w:val="00F864F8"/>
    <w:rsid w:val="00F87AA8"/>
    <w:rsid w:val="00F91213"/>
    <w:rsid w:val="00F92097"/>
    <w:rsid w:val="00F9324F"/>
    <w:rsid w:val="00F9571F"/>
    <w:rsid w:val="00F97031"/>
    <w:rsid w:val="00FA4B2B"/>
    <w:rsid w:val="00FA6285"/>
    <w:rsid w:val="00FA678F"/>
    <w:rsid w:val="00FB3365"/>
    <w:rsid w:val="00FB511E"/>
    <w:rsid w:val="00FB5F13"/>
    <w:rsid w:val="00FC3671"/>
    <w:rsid w:val="00FC60D5"/>
    <w:rsid w:val="00FD1D0B"/>
    <w:rsid w:val="00FE2812"/>
    <w:rsid w:val="00FE2EFE"/>
    <w:rsid w:val="00FE3FD7"/>
    <w:rsid w:val="00FE405E"/>
    <w:rsid w:val="00FF12CC"/>
    <w:rsid w:val="00FF2DF1"/>
    <w:rsid w:val="00FF3C5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B6D38"/>
    <w:pPr>
      <w:overflowPunct w:val="0"/>
      <w:autoSpaceDE w:val="0"/>
      <w:autoSpaceDN w:val="0"/>
      <w:adjustRightInd w:val="0"/>
      <w:spacing w:after="120"/>
      <w:jc w:val="both"/>
      <w:textAlignment w:val="baseline"/>
    </w:pPr>
    <w:rPr>
      <w:sz w:val="21"/>
      <w:szCs w:val="21"/>
      <w:lang w:val="de-DE" w:eastAsia="de-DE"/>
    </w:rPr>
  </w:style>
  <w:style w:type="paragraph" w:styleId="Heading1">
    <w:name w:val="heading 1"/>
    <w:basedOn w:val="Normal"/>
    <w:next w:val="Normal"/>
    <w:link w:val="Heading1Char"/>
    <w:uiPriority w:val="99"/>
    <w:qFormat/>
    <w:rsid w:val="0070541D"/>
    <w:pPr>
      <w:keepNext/>
      <w:keepLines/>
      <w:numPr>
        <w:numId w:val="1"/>
      </w:numPr>
      <w:tabs>
        <w:tab w:val="clear" w:pos="360"/>
        <w:tab w:val="num" w:pos="1134"/>
      </w:tabs>
      <w:spacing w:before="480" w:after="240"/>
      <w:ind w:left="1134" w:hanging="1134"/>
      <w:jc w:val="left"/>
      <w:outlineLvl w:val="0"/>
    </w:pPr>
    <w:rPr>
      <w:rFonts w:cs="Arial"/>
      <w:b/>
      <w:color w:val="121754"/>
      <w:spacing w:val="60"/>
      <w:sz w:val="28"/>
    </w:rPr>
  </w:style>
  <w:style w:type="paragraph" w:styleId="Heading2">
    <w:name w:val="heading 2"/>
    <w:basedOn w:val="Heading1"/>
    <w:next w:val="Normal"/>
    <w:link w:val="Heading2Char"/>
    <w:uiPriority w:val="99"/>
    <w:qFormat/>
    <w:rsid w:val="0070541D"/>
    <w:pPr>
      <w:numPr>
        <w:ilvl w:val="1"/>
      </w:numPr>
      <w:tabs>
        <w:tab w:val="clear" w:pos="360"/>
        <w:tab w:val="num" w:pos="1134"/>
      </w:tabs>
      <w:spacing w:before="240"/>
      <w:ind w:left="1134" w:hanging="1134"/>
      <w:outlineLvl w:val="1"/>
    </w:pPr>
    <w:rPr>
      <w:sz w:val="24"/>
    </w:rPr>
  </w:style>
  <w:style w:type="paragraph" w:styleId="Heading3">
    <w:name w:val="heading 3"/>
    <w:basedOn w:val="Heading2"/>
    <w:next w:val="Normal"/>
    <w:link w:val="Heading3Char"/>
    <w:uiPriority w:val="99"/>
    <w:qFormat/>
    <w:rsid w:val="0070541D"/>
    <w:pPr>
      <w:numPr>
        <w:ilvl w:val="2"/>
      </w:numPr>
      <w:tabs>
        <w:tab w:val="clear" w:pos="360"/>
        <w:tab w:val="num" w:pos="1134"/>
      </w:tabs>
      <w:spacing w:after="120"/>
      <w:ind w:left="1134" w:hanging="1134"/>
      <w:outlineLvl w:val="2"/>
    </w:pPr>
    <w:rPr>
      <w:sz w:val="22"/>
    </w:rPr>
  </w:style>
  <w:style w:type="paragraph" w:styleId="Heading4">
    <w:name w:val="heading 4"/>
    <w:basedOn w:val="Heading3"/>
    <w:next w:val="Normal"/>
    <w:link w:val="Heading4Char"/>
    <w:uiPriority w:val="99"/>
    <w:qFormat/>
    <w:rsid w:val="0070541D"/>
    <w:pPr>
      <w:numPr>
        <w:ilvl w:val="3"/>
      </w:numPr>
      <w:tabs>
        <w:tab w:val="clear" w:pos="360"/>
        <w:tab w:val="num" w:pos="1440"/>
      </w:tabs>
      <w:ind w:left="1134" w:hanging="1134"/>
      <w:outlineLvl w:val="3"/>
    </w:pPr>
    <w:rPr>
      <w:sz w:val="20"/>
    </w:rPr>
  </w:style>
  <w:style w:type="paragraph" w:styleId="Heading5">
    <w:name w:val="heading 5"/>
    <w:basedOn w:val="Heading4"/>
    <w:next w:val="Normal"/>
    <w:link w:val="Heading5Char"/>
    <w:uiPriority w:val="99"/>
    <w:qFormat/>
    <w:rsid w:val="0070541D"/>
    <w:pPr>
      <w:numPr>
        <w:ilvl w:val="4"/>
      </w:numPr>
      <w:tabs>
        <w:tab w:val="clear" w:pos="360"/>
        <w:tab w:val="num" w:pos="1008"/>
      </w:tabs>
      <w:ind w:left="1008" w:hanging="1008"/>
      <w:outlineLvl w:val="4"/>
    </w:pPr>
    <w:rPr>
      <w:b w:val="0"/>
    </w:rPr>
  </w:style>
  <w:style w:type="paragraph" w:styleId="Heading6">
    <w:name w:val="heading 6"/>
    <w:basedOn w:val="Heading5"/>
    <w:next w:val="Normal"/>
    <w:link w:val="Heading6Char"/>
    <w:uiPriority w:val="99"/>
    <w:qFormat/>
    <w:rsid w:val="0070541D"/>
    <w:pPr>
      <w:numPr>
        <w:ilvl w:val="5"/>
        <w:numId w:val="13"/>
      </w:numPr>
      <w:outlineLvl w:val="5"/>
    </w:pPr>
  </w:style>
  <w:style w:type="paragraph" w:styleId="Heading7">
    <w:name w:val="heading 7"/>
    <w:basedOn w:val="Heading6"/>
    <w:next w:val="Normal"/>
    <w:link w:val="Heading7Char"/>
    <w:uiPriority w:val="99"/>
    <w:qFormat/>
    <w:rsid w:val="0070541D"/>
    <w:pPr>
      <w:numPr>
        <w:ilvl w:val="6"/>
      </w:numPr>
      <w:tabs>
        <w:tab w:val="num" w:pos="643"/>
        <w:tab w:val="left" w:pos="1701"/>
      </w:tabs>
      <w:outlineLvl w:val="6"/>
    </w:pPr>
  </w:style>
  <w:style w:type="paragraph" w:styleId="Heading8">
    <w:name w:val="heading 8"/>
    <w:basedOn w:val="Heading7"/>
    <w:next w:val="Normal"/>
    <w:link w:val="Heading8Char"/>
    <w:uiPriority w:val="99"/>
    <w:qFormat/>
    <w:rsid w:val="0070541D"/>
    <w:pPr>
      <w:numPr>
        <w:ilvl w:val="7"/>
      </w:numPr>
      <w:tabs>
        <w:tab w:val="num" w:pos="643"/>
      </w:tabs>
      <w:outlineLvl w:val="7"/>
    </w:pPr>
  </w:style>
  <w:style w:type="paragraph" w:styleId="Heading9">
    <w:name w:val="heading 9"/>
    <w:basedOn w:val="Heading8"/>
    <w:next w:val="Normal"/>
    <w:link w:val="Heading9Char"/>
    <w:uiPriority w:val="99"/>
    <w:qFormat/>
    <w:rsid w:val="0070541D"/>
    <w:pPr>
      <w:numPr>
        <w:ilvl w:val="8"/>
      </w:numPr>
      <w:tabs>
        <w:tab w:val="num" w:pos="643"/>
      </w:tabs>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41D"/>
    <w:rPr>
      <w:rFonts w:ascii="Arial" w:hAnsi="Arial" w:cs="Arial"/>
      <w:b/>
      <w:color w:val="121754"/>
      <w:spacing w:val="60"/>
      <w:sz w:val="21"/>
      <w:szCs w:val="21"/>
      <w:lang w:val="de-DE" w:eastAsia="de-DE" w:bidi="ar-SA"/>
    </w:rPr>
  </w:style>
  <w:style w:type="character" w:customStyle="1" w:styleId="Heading2Char">
    <w:name w:val="Heading 2 Char"/>
    <w:basedOn w:val="Heading1Char"/>
    <w:link w:val="Heading2"/>
    <w:uiPriority w:val="99"/>
    <w:locked/>
    <w:rsid w:val="0070541D"/>
  </w:style>
  <w:style w:type="character" w:customStyle="1" w:styleId="Heading3Char">
    <w:name w:val="Heading 3 Char"/>
    <w:basedOn w:val="Heading2Char"/>
    <w:link w:val="Heading3"/>
    <w:uiPriority w:val="99"/>
    <w:semiHidden/>
    <w:locked/>
    <w:rsid w:val="0070541D"/>
  </w:style>
  <w:style w:type="character" w:customStyle="1" w:styleId="Heading4Char">
    <w:name w:val="Heading 4 Char"/>
    <w:basedOn w:val="Heading3Char"/>
    <w:link w:val="Heading4"/>
    <w:uiPriority w:val="99"/>
    <w:semiHidden/>
    <w:locked/>
    <w:rsid w:val="0070541D"/>
  </w:style>
  <w:style w:type="character" w:customStyle="1" w:styleId="Heading5Char">
    <w:name w:val="Heading 5 Char"/>
    <w:basedOn w:val="DefaultParagraphFont"/>
    <w:link w:val="Heading5"/>
    <w:uiPriority w:val="99"/>
    <w:semiHidden/>
    <w:locked/>
    <w:rsid w:val="007D6E9D"/>
    <w:rPr>
      <w:rFonts w:ascii="Arial" w:hAnsi="Arial" w:cs="Arial"/>
      <w:color w:val="121754"/>
      <w:spacing w:val="60"/>
      <w:sz w:val="21"/>
      <w:szCs w:val="21"/>
      <w:lang w:val="de-DE" w:eastAsia="de-DE" w:bidi="ar-SA"/>
    </w:rPr>
  </w:style>
  <w:style w:type="character" w:customStyle="1" w:styleId="Heading6Char">
    <w:name w:val="Heading 6 Char"/>
    <w:basedOn w:val="DefaultParagraphFont"/>
    <w:link w:val="Heading6"/>
    <w:uiPriority w:val="99"/>
    <w:locked/>
    <w:rsid w:val="007D6E9D"/>
    <w:rPr>
      <w:rFonts w:cs="Arial"/>
      <w:color w:val="121754"/>
      <w:spacing w:val="60"/>
      <w:sz w:val="20"/>
      <w:szCs w:val="21"/>
      <w:lang w:val="de-DE" w:eastAsia="de-DE"/>
    </w:rPr>
  </w:style>
  <w:style w:type="character" w:customStyle="1" w:styleId="Heading7Char">
    <w:name w:val="Heading 7 Char"/>
    <w:basedOn w:val="DefaultParagraphFont"/>
    <w:link w:val="Heading7"/>
    <w:uiPriority w:val="99"/>
    <w:locked/>
    <w:rsid w:val="007D6E9D"/>
    <w:rPr>
      <w:rFonts w:cs="Arial"/>
      <w:color w:val="121754"/>
      <w:spacing w:val="60"/>
      <w:sz w:val="20"/>
      <w:szCs w:val="21"/>
      <w:lang w:val="de-DE" w:eastAsia="de-DE"/>
    </w:rPr>
  </w:style>
  <w:style w:type="character" w:customStyle="1" w:styleId="Heading8Char">
    <w:name w:val="Heading 8 Char"/>
    <w:basedOn w:val="DefaultParagraphFont"/>
    <w:link w:val="Heading8"/>
    <w:uiPriority w:val="99"/>
    <w:locked/>
    <w:rsid w:val="007D6E9D"/>
    <w:rPr>
      <w:rFonts w:cs="Arial"/>
      <w:color w:val="121754"/>
      <w:spacing w:val="60"/>
      <w:sz w:val="20"/>
      <w:szCs w:val="21"/>
      <w:lang w:val="de-DE" w:eastAsia="de-DE"/>
    </w:rPr>
  </w:style>
  <w:style w:type="character" w:customStyle="1" w:styleId="Heading9Char">
    <w:name w:val="Heading 9 Char"/>
    <w:basedOn w:val="DefaultParagraphFont"/>
    <w:link w:val="Heading9"/>
    <w:uiPriority w:val="99"/>
    <w:locked/>
    <w:rsid w:val="007D6E9D"/>
    <w:rPr>
      <w:rFonts w:cs="Arial"/>
      <w:color w:val="121754"/>
      <w:spacing w:val="60"/>
      <w:sz w:val="20"/>
      <w:szCs w:val="21"/>
      <w:lang w:val="de-DE" w:eastAsia="de-DE"/>
    </w:rPr>
  </w:style>
  <w:style w:type="paragraph" w:styleId="TOC4">
    <w:name w:val="toc 4"/>
    <w:basedOn w:val="TOC3"/>
    <w:next w:val="TOC5"/>
    <w:uiPriority w:val="99"/>
    <w:semiHidden/>
    <w:rsid w:val="0070541D"/>
    <w:pPr>
      <w:ind w:left="1418" w:hanging="1134"/>
    </w:pPr>
  </w:style>
  <w:style w:type="paragraph" w:styleId="TOC3">
    <w:name w:val="toc 3"/>
    <w:basedOn w:val="TOC2"/>
    <w:next w:val="TOC4"/>
    <w:uiPriority w:val="99"/>
    <w:semiHidden/>
    <w:rsid w:val="0070541D"/>
  </w:style>
  <w:style w:type="paragraph" w:styleId="TOC2">
    <w:name w:val="toc 2"/>
    <w:basedOn w:val="TOC1"/>
    <w:next w:val="TOC3"/>
    <w:uiPriority w:val="99"/>
    <w:rsid w:val="0070541D"/>
    <w:pPr>
      <w:keepNext w:val="0"/>
      <w:keepLines w:val="0"/>
      <w:widowControl w:val="0"/>
      <w:spacing w:before="0"/>
      <w:ind w:left="1135" w:hanging="851"/>
    </w:pPr>
    <w:rPr>
      <w:b w:val="0"/>
    </w:rPr>
  </w:style>
  <w:style w:type="paragraph" w:styleId="TOC1">
    <w:name w:val="toc 1"/>
    <w:basedOn w:val="Heading1"/>
    <w:next w:val="TOC2"/>
    <w:uiPriority w:val="99"/>
    <w:rsid w:val="00920FCC"/>
    <w:pPr>
      <w:numPr>
        <w:numId w:val="0"/>
      </w:numPr>
      <w:tabs>
        <w:tab w:val="left" w:pos="1134"/>
        <w:tab w:val="right" w:leader="dot" w:pos="9072"/>
      </w:tabs>
      <w:spacing w:before="120" w:after="60"/>
      <w:ind w:left="284" w:right="425" w:hanging="284"/>
      <w:outlineLvl w:val="9"/>
    </w:pPr>
    <w:rPr>
      <w:noProof/>
      <w:color w:val="000000"/>
      <w:spacing w:val="0"/>
      <w:sz w:val="21"/>
    </w:rPr>
  </w:style>
  <w:style w:type="paragraph" w:styleId="Index3">
    <w:name w:val="index 3"/>
    <w:basedOn w:val="Normal"/>
    <w:next w:val="Normal"/>
    <w:uiPriority w:val="99"/>
    <w:semiHidden/>
    <w:rsid w:val="0070541D"/>
    <w:pPr>
      <w:ind w:left="567"/>
    </w:pPr>
  </w:style>
  <w:style w:type="paragraph" w:styleId="Index2">
    <w:name w:val="index 2"/>
    <w:basedOn w:val="Normal"/>
    <w:next w:val="Normal"/>
    <w:uiPriority w:val="99"/>
    <w:semiHidden/>
    <w:rsid w:val="0070541D"/>
    <w:pPr>
      <w:ind w:left="283"/>
    </w:pPr>
  </w:style>
  <w:style w:type="paragraph" w:styleId="Index1">
    <w:name w:val="index 1"/>
    <w:basedOn w:val="Normal"/>
    <w:next w:val="Normal"/>
    <w:uiPriority w:val="99"/>
    <w:semiHidden/>
    <w:rsid w:val="0070541D"/>
  </w:style>
  <w:style w:type="character" w:styleId="LineNumber">
    <w:name w:val="line number"/>
    <w:basedOn w:val="DefaultParagraphFont"/>
    <w:uiPriority w:val="99"/>
    <w:semiHidden/>
    <w:rsid w:val="0070541D"/>
    <w:rPr>
      <w:rFonts w:cs="Times New Roman"/>
    </w:rPr>
  </w:style>
  <w:style w:type="paragraph" w:styleId="IndexHeading">
    <w:name w:val="index heading"/>
    <w:basedOn w:val="Normal"/>
    <w:next w:val="Normal"/>
    <w:uiPriority w:val="99"/>
    <w:semiHidden/>
    <w:rsid w:val="0070541D"/>
  </w:style>
  <w:style w:type="paragraph" w:styleId="Footer">
    <w:name w:val="footer"/>
    <w:basedOn w:val="Normal"/>
    <w:link w:val="FooterChar"/>
    <w:uiPriority w:val="99"/>
    <w:rsid w:val="0070541D"/>
    <w:pPr>
      <w:tabs>
        <w:tab w:val="right" w:pos="7371"/>
      </w:tabs>
      <w:spacing w:after="0"/>
      <w:jc w:val="center"/>
    </w:pPr>
    <w:rPr>
      <w:color w:val="000000"/>
      <w:sz w:val="18"/>
    </w:rPr>
  </w:style>
  <w:style w:type="character" w:customStyle="1" w:styleId="FooterChar">
    <w:name w:val="Footer Char"/>
    <w:basedOn w:val="DefaultParagraphFont"/>
    <w:link w:val="Footer"/>
    <w:uiPriority w:val="99"/>
    <w:locked/>
    <w:rsid w:val="0070541D"/>
    <w:rPr>
      <w:rFonts w:cs="Times New Roman"/>
      <w:color w:val="000000"/>
      <w:sz w:val="18"/>
    </w:rPr>
  </w:style>
  <w:style w:type="paragraph" w:styleId="Header">
    <w:name w:val="header"/>
    <w:basedOn w:val="Normal"/>
    <w:link w:val="HeaderChar"/>
    <w:uiPriority w:val="99"/>
    <w:rsid w:val="0070541D"/>
    <w:pPr>
      <w:jc w:val="right"/>
    </w:pPr>
  </w:style>
  <w:style w:type="character" w:customStyle="1" w:styleId="HeaderChar">
    <w:name w:val="Header Char"/>
    <w:basedOn w:val="DefaultParagraphFont"/>
    <w:link w:val="Header"/>
    <w:uiPriority w:val="99"/>
    <w:locked/>
    <w:rsid w:val="0070541D"/>
    <w:rPr>
      <w:rFonts w:cs="Times New Roman"/>
    </w:rPr>
  </w:style>
  <w:style w:type="character" w:styleId="FootnoteReference">
    <w:name w:val="footnote reference"/>
    <w:basedOn w:val="DefaultParagraphFont"/>
    <w:uiPriority w:val="99"/>
    <w:semiHidden/>
    <w:rsid w:val="0070541D"/>
    <w:rPr>
      <w:rFonts w:ascii="Arial" w:hAnsi="Arial" w:cs="Times New Roman"/>
      <w:color w:val="121754"/>
      <w:position w:val="6"/>
      <w:sz w:val="16"/>
    </w:rPr>
  </w:style>
  <w:style w:type="paragraph" w:styleId="FootnoteText">
    <w:name w:val="footnote text"/>
    <w:basedOn w:val="Normal"/>
    <w:link w:val="FootnoteTextChar"/>
    <w:uiPriority w:val="99"/>
    <w:rsid w:val="0070541D"/>
    <w:pPr>
      <w:tabs>
        <w:tab w:val="left" w:pos="227"/>
      </w:tabs>
      <w:spacing w:after="0"/>
      <w:ind w:left="227" w:hanging="227"/>
      <w:jc w:val="left"/>
    </w:pPr>
    <w:rPr>
      <w:sz w:val="16"/>
    </w:rPr>
  </w:style>
  <w:style w:type="character" w:customStyle="1" w:styleId="FootnoteTextChar">
    <w:name w:val="Footnote Text Char"/>
    <w:basedOn w:val="DefaultParagraphFont"/>
    <w:link w:val="FootnoteText"/>
    <w:uiPriority w:val="99"/>
    <w:locked/>
    <w:rsid w:val="00A044D9"/>
    <w:rPr>
      <w:rFonts w:cs="Times New Roman"/>
      <w:sz w:val="16"/>
    </w:rPr>
  </w:style>
  <w:style w:type="paragraph" w:styleId="BalloonText">
    <w:name w:val="Balloon Text"/>
    <w:basedOn w:val="Normal"/>
    <w:link w:val="BalloonTextChar"/>
    <w:uiPriority w:val="99"/>
    <w:semiHidden/>
    <w:rsid w:val="007054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541D"/>
    <w:rPr>
      <w:rFonts w:ascii="Tahoma" w:hAnsi="Tahoma" w:cs="Tahoma"/>
      <w:sz w:val="16"/>
      <w:szCs w:val="16"/>
    </w:rPr>
  </w:style>
  <w:style w:type="paragraph" w:styleId="Caption">
    <w:name w:val="caption"/>
    <w:basedOn w:val="Normal"/>
    <w:next w:val="Normal"/>
    <w:uiPriority w:val="99"/>
    <w:qFormat/>
    <w:rsid w:val="0070541D"/>
    <w:pPr>
      <w:tabs>
        <w:tab w:val="left" w:pos="1418"/>
      </w:tabs>
      <w:ind w:left="1418" w:hanging="1418"/>
      <w:jc w:val="left"/>
    </w:pPr>
    <w:rPr>
      <w:rFonts w:ascii="Arial Narrow" w:hAnsi="Arial Narrow"/>
      <w:b/>
      <w:bCs/>
      <w:sz w:val="20"/>
    </w:rPr>
  </w:style>
  <w:style w:type="paragraph" w:styleId="TableofFigures">
    <w:name w:val="table of figures"/>
    <w:basedOn w:val="Normal"/>
    <w:next w:val="Normal"/>
    <w:uiPriority w:val="99"/>
    <w:semiHidden/>
    <w:rsid w:val="0070541D"/>
    <w:pPr>
      <w:tabs>
        <w:tab w:val="left" w:pos="1418"/>
        <w:tab w:val="right" w:leader="dot" w:pos="9072"/>
      </w:tabs>
      <w:ind w:left="1418" w:right="567" w:hanging="1418"/>
      <w:jc w:val="left"/>
    </w:pPr>
  </w:style>
  <w:style w:type="character" w:styleId="Hyperlink">
    <w:name w:val="Hyperlink"/>
    <w:basedOn w:val="DefaultParagraphFont"/>
    <w:uiPriority w:val="99"/>
    <w:rsid w:val="0070541D"/>
    <w:rPr>
      <w:rFonts w:cs="Times New Roman"/>
      <w:color w:val="0000FF"/>
      <w:u w:val="single"/>
    </w:rPr>
  </w:style>
  <w:style w:type="paragraph" w:customStyle="1" w:styleId="Quellenangabe">
    <w:name w:val="Quellenangabe"/>
    <w:basedOn w:val="Normal"/>
    <w:next w:val="Normal"/>
    <w:uiPriority w:val="99"/>
    <w:semiHidden/>
    <w:rsid w:val="0070541D"/>
    <w:pPr>
      <w:tabs>
        <w:tab w:val="left" w:pos="851"/>
      </w:tabs>
      <w:spacing w:before="60" w:after="220"/>
      <w:ind w:left="851" w:hanging="851"/>
    </w:pPr>
    <w:rPr>
      <w:sz w:val="18"/>
    </w:rPr>
  </w:style>
  <w:style w:type="paragraph" w:styleId="TOC5">
    <w:name w:val="toc 5"/>
    <w:basedOn w:val="TOC4"/>
    <w:next w:val="TOC6"/>
    <w:uiPriority w:val="99"/>
    <w:semiHidden/>
    <w:rsid w:val="0070541D"/>
    <w:pPr>
      <w:ind w:left="0" w:firstLine="0"/>
    </w:pPr>
  </w:style>
  <w:style w:type="paragraph" w:customStyle="1" w:styleId="Tabellenstandard">
    <w:name w:val="Tabellenstandard"/>
    <w:basedOn w:val="Normal"/>
    <w:uiPriority w:val="99"/>
    <w:semiHidden/>
    <w:rsid w:val="0070541D"/>
    <w:pPr>
      <w:spacing w:before="48" w:after="48"/>
      <w:contextualSpacing/>
    </w:pPr>
    <w:rPr>
      <w:sz w:val="18"/>
    </w:rPr>
  </w:style>
  <w:style w:type="paragraph" w:styleId="ListBullet">
    <w:name w:val="List Bullet"/>
    <w:basedOn w:val="Normal"/>
    <w:uiPriority w:val="99"/>
    <w:semiHidden/>
    <w:rsid w:val="0070541D"/>
    <w:pPr>
      <w:tabs>
        <w:tab w:val="num" w:pos="360"/>
      </w:tabs>
      <w:ind w:left="360" w:hanging="360"/>
    </w:pPr>
  </w:style>
  <w:style w:type="paragraph" w:styleId="ListBullet2">
    <w:name w:val="List Bullet 2"/>
    <w:basedOn w:val="ListBullet"/>
    <w:uiPriority w:val="99"/>
    <w:semiHidden/>
    <w:rsid w:val="0070541D"/>
    <w:pPr>
      <w:tabs>
        <w:tab w:val="clear" w:pos="360"/>
        <w:tab w:val="num" w:pos="643"/>
      </w:tabs>
      <w:ind w:left="643"/>
    </w:pPr>
  </w:style>
  <w:style w:type="paragraph" w:styleId="ListBullet3">
    <w:name w:val="List Bullet 3"/>
    <w:basedOn w:val="ListBullet2"/>
    <w:uiPriority w:val="99"/>
    <w:semiHidden/>
    <w:rsid w:val="0070541D"/>
    <w:pPr>
      <w:tabs>
        <w:tab w:val="clear" w:pos="643"/>
        <w:tab w:val="num" w:pos="926"/>
      </w:tabs>
      <w:ind w:left="926"/>
    </w:pPr>
  </w:style>
  <w:style w:type="character" w:styleId="PageNumber">
    <w:name w:val="page number"/>
    <w:basedOn w:val="DefaultParagraphFont"/>
    <w:uiPriority w:val="99"/>
    <w:semiHidden/>
    <w:rsid w:val="0070541D"/>
    <w:rPr>
      <w:rFonts w:cs="Times New Roman"/>
    </w:rPr>
  </w:style>
  <w:style w:type="character" w:customStyle="1" w:styleId="GFAleichteHervorhebung">
    <w:name w:val="GFA leichte Hervorhebung"/>
    <w:basedOn w:val="DefaultParagraphFont"/>
    <w:uiPriority w:val="99"/>
    <w:rsid w:val="0070541D"/>
    <w:rPr>
      <w:rFonts w:cs="Times New Roman"/>
      <w:i/>
      <w:color w:val="121754"/>
    </w:rPr>
  </w:style>
  <w:style w:type="table" w:styleId="MediumGrid3-Accent2">
    <w:name w:val="Medium Grid 3 Accent 2"/>
    <w:basedOn w:val="TableNormal"/>
    <w:uiPriority w:val="99"/>
    <w:semiHidden/>
    <w:locked/>
    <w:rsid w:val="0070541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EE4F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48DC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48DC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148DC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148DC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7DC9F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DC9F2"/>
      </w:tcPr>
    </w:tblStylePr>
  </w:style>
  <w:style w:type="table" w:styleId="LightList-Accent2">
    <w:name w:val="Light List Accent 2"/>
    <w:basedOn w:val="TableNormal"/>
    <w:uiPriority w:val="99"/>
    <w:semiHidden/>
    <w:locked/>
    <w:rsid w:val="0070541D"/>
    <w:rPr>
      <w:sz w:val="20"/>
      <w:szCs w:val="20"/>
    </w:rPr>
    <w:tblPr>
      <w:tblStyleRowBandSize w:val="1"/>
      <w:tblStyleColBandSize w:val="1"/>
      <w:tblInd w:w="0" w:type="dxa"/>
      <w:tblBorders>
        <w:top w:val="single" w:sz="8" w:space="0" w:color="148DCD"/>
        <w:left w:val="single" w:sz="8" w:space="0" w:color="148DCD"/>
        <w:bottom w:val="single" w:sz="8" w:space="0" w:color="148DCD"/>
        <w:right w:val="single" w:sz="8" w:space="0" w:color="148DC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148DCD"/>
      </w:tcPr>
    </w:tblStylePr>
    <w:tblStylePr w:type="lastRow">
      <w:pPr>
        <w:spacing w:before="0" w:after="0"/>
      </w:pPr>
      <w:rPr>
        <w:rFonts w:cs="Times New Roman"/>
        <w:b/>
        <w:bCs/>
      </w:rPr>
      <w:tblPr/>
      <w:tcPr>
        <w:tcBorders>
          <w:top w:val="double" w:sz="6" w:space="0" w:color="148DCD"/>
          <w:left w:val="single" w:sz="8" w:space="0" w:color="148DCD"/>
          <w:bottom w:val="single" w:sz="8" w:space="0" w:color="148DCD"/>
          <w:right w:val="single" w:sz="8" w:space="0" w:color="148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148DCD"/>
          <w:left w:val="single" w:sz="8" w:space="0" w:color="148DCD"/>
          <w:bottom w:val="single" w:sz="8" w:space="0" w:color="148DCD"/>
          <w:right w:val="single" w:sz="8" w:space="0" w:color="148DCD"/>
        </w:tcBorders>
      </w:tcPr>
    </w:tblStylePr>
    <w:tblStylePr w:type="band1Horz">
      <w:rPr>
        <w:rFonts w:cs="Times New Roman"/>
      </w:rPr>
      <w:tblPr/>
      <w:tcPr>
        <w:tcBorders>
          <w:top w:val="single" w:sz="8" w:space="0" w:color="148DCD"/>
          <w:left w:val="single" w:sz="8" w:space="0" w:color="148DCD"/>
          <w:bottom w:val="single" w:sz="8" w:space="0" w:color="148DCD"/>
          <w:right w:val="single" w:sz="8" w:space="0" w:color="148DCD"/>
        </w:tcBorders>
      </w:tcPr>
    </w:tblStylePr>
  </w:style>
  <w:style w:type="table" w:styleId="TableGrid">
    <w:name w:val="Table Grid"/>
    <w:aliases w:val="GFA Table Grid"/>
    <w:basedOn w:val="TableNormal"/>
    <w:uiPriority w:val="99"/>
    <w:rsid w:val="0070541D"/>
    <w:rPr>
      <w:rFonts w:ascii="Arial Narrow" w:hAnsi="Arial Narrow"/>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pPr>
        <w:spacing w:beforeLines="0" w:beforeAutospacing="0" w:afterLines="0" w:afterAutospacing="0"/>
        <w:ind w:leftChars="0" w:left="0" w:rightChars="0" w:right="0" w:firstLineChars="0" w:firstLine="0"/>
        <w:jc w:val="left"/>
        <w:outlineLvl w:val="9"/>
      </w:pPr>
      <w:rPr>
        <w:rFonts w:ascii="Arial Narrow" w:hAnsi="Arial Narrow" w:cs="Times New Roman"/>
        <w:b/>
        <w:sz w:val="21"/>
      </w:rPr>
    </w:tblStylePr>
    <w:tblStylePr w:type="lastRow">
      <w:rPr>
        <w:rFonts w:ascii="Arial Narrow" w:hAnsi="Arial Narrow" w:cs="Times New Roman"/>
        <w:b/>
        <w:sz w:val="21"/>
      </w:rPr>
    </w:tblStylePr>
    <w:tblStylePr w:type="firstCol">
      <w:rPr>
        <w:rFonts w:ascii="Arial Narrow" w:hAnsi="Arial Narrow" w:cs="Times New Roman"/>
        <w:b/>
        <w:sz w:val="21"/>
      </w:rPr>
    </w:tblStylePr>
    <w:tblStylePr w:type="lastCol">
      <w:rPr>
        <w:rFonts w:ascii="Arial Narrow" w:hAnsi="Arial Narrow" w:cs="Times New Roman"/>
        <w:b/>
        <w:sz w:val="21"/>
      </w:rPr>
    </w:tblStylePr>
    <w:tblStylePr w:type="band1Vert">
      <w:rPr>
        <w:rFonts w:ascii="Arial Narrow" w:hAnsi="Arial Narrow" w:cs="Times New Roman"/>
        <w:sz w:val="21"/>
      </w:rPr>
    </w:tblStylePr>
    <w:tblStylePr w:type="band2Vert">
      <w:rPr>
        <w:rFonts w:ascii="Arial Narrow" w:hAnsi="Arial Narrow" w:cs="Times New Roman"/>
        <w:sz w:val="21"/>
      </w:rPr>
    </w:tblStylePr>
    <w:tblStylePr w:type="band1Horz">
      <w:rPr>
        <w:rFonts w:ascii="Arial Narrow" w:hAnsi="Arial Narrow" w:cs="Times New Roman"/>
        <w:sz w:val="21"/>
      </w:rPr>
    </w:tblStylePr>
    <w:tblStylePr w:type="band2Horz">
      <w:rPr>
        <w:rFonts w:ascii="Arial Narrow" w:hAnsi="Arial Narrow" w:cs="Times New Roman"/>
        <w:sz w:val="21"/>
      </w:rPr>
    </w:tblStylePr>
    <w:tblStylePr w:type="neCell">
      <w:rPr>
        <w:rFonts w:ascii="Arial Narrow" w:hAnsi="Arial Narrow" w:cs="Times New Roman"/>
        <w:sz w:val="21"/>
      </w:rPr>
    </w:tblStylePr>
    <w:tblStylePr w:type="nwCell">
      <w:rPr>
        <w:rFonts w:ascii="Arial Narrow" w:hAnsi="Arial Narrow" w:cs="Times New Roman"/>
        <w:sz w:val="21"/>
      </w:rPr>
    </w:tblStylePr>
    <w:tblStylePr w:type="seCell">
      <w:rPr>
        <w:rFonts w:ascii="Arial Narrow" w:hAnsi="Arial Narrow" w:cs="Times New Roman"/>
        <w:sz w:val="21"/>
      </w:rPr>
    </w:tblStylePr>
    <w:tblStylePr w:type="swCell">
      <w:rPr>
        <w:rFonts w:ascii="Arial Narrow" w:hAnsi="Arial Narrow" w:cs="Times New Roman"/>
        <w:sz w:val="21"/>
      </w:rPr>
    </w:tblStylePr>
  </w:style>
  <w:style w:type="paragraph" w:styleId="ListParagraph">
    <w:name w:val="List Paragraph"/>
    <w:aliases w:val="List Paragraph1,Left Bullet L1,Bullet Points,Liste Paragraf,Paragraphe de liste PBLH"/>
    <w:basedOn w:val="Normal"/>
    <w:link w:val="ListParagraphChar"/>
    <w:uiPriority w:val="99"/>
    <w:qFormat/>
    <w:rsid w:val="0070541D"/>
    <w:pPr>
      <w:ind w:left="284" w:hanging="284"/>
      <w:contextualSpacing/>
    </w:pPr>
  </w:style>
  <w:style w:type="paragraph" w:customStyle="1" w:styleId="Subheading">
    <w:name w:val="Subheading"/>
    <w:basedOn w:val="Heading4"/>
    <w:next w:val="Normal"/>
    <w:link w:val="SubheadingZchn"/>
    <w:uiPriority w:val="99"/>
    <w:rsid w:val="00163D8E"/>
    <w:pPr>
      <w:numPr>
        <w:ilvl w:val="0"/>
        <w:numId w:val="0"/>
      </w:numPr>
      <w:outlineLvl w:val="9"/>
    </w:pPr>
    <w:rPr>
      <w:spacing w:val="0"/>
      <w:sz w:val="21"/>
    </w:rPr>
  </w:style>
  <w:style w:type="character" w:customStyle="1" w:styleId="SubheadingZchn">
    <w:name w:val="Subheading Zchn"/>
    <w:basedOn w:val="Heading4Char"/>
    <w:link w:val="Subheading"/>
    <w:uiPriority w:val="99"/>
    <w:locked/>
    <w:rsid w:val="00163D8E"/>
  </w:style>
  <w:style w:type="paragraph" w:customStyle="1" w:styleId="GFANumberedLists1">
    <w:name w:val="GFA Numbered Lists 1"/>
    <w:basedOn w:val="ListParagraph"/>
    <w:link w:val="GFANumberedLists1Zchn"/>
    <w:uiPriority w:val="99"/>
    <w:rsid w:val="0070541D"/>
    <w:pPr>
      <w:numPr>
        <w:numId w:val="3"/>
      </w:numPr>
      <w:tabs>
        <w:tab w:val="clear" w:pos="926"/>
        <w:tab w:val="num" w:pos="284"/>
      </w:tabs>
      <w:spacing w:after="40"/>
      <w:ind w:left="284" w:hanging="284"/>
      <w:contextualSpacing w:val="0"/>
      <w:jc w:val="left"/>
    </w:pPr>
  </w:style>
  <w:style w:type="character" w:customStyle="1" w:styleId="ListParagraphChar">
    <w:name w:val="List Paragraph Char"/>
    <w:aliases w:val="List Paragraph1 Char,Left Bullet L1 Char,Bullet Points Char,Liste Paragraf Char,Paragraphe de liste PBLH Char"/>
    <w:basedOn w:val="DefaultParagraphFont"/>
    <w:link w:val="ListParagraph"/>
    <w:uiPriority w:val="99"/>
    <w:locked/>
    <w:rsid w:val="0070541D"/>
    <w:rPr>
      <w:rFonts w:cs="Times New Roman"/>
    </w:rPr>
  </w:style>
  <w:style w:type="paragraph" w:customStyle="1" w:styleId="GFABulletedLists1">
    <w:name w:val="GFA Bulleted Lists 1"/>
    <w:basedOn w:val="ListParagraph"/>
    <w:link w:val="GFABulletedLists1Zchn"/>
    <w:uiPriority w:val="99"/>
    <w:rsid w:val="0070541D"/>
    <w:pPr>
      <w:numPr>
        <w:numId w:val="2"/>
      </w:numPr>
      <w:tabs>
        <w:tab w:val="clear" w:pos="643"/>
      </w:tabs>
      <w:spacing w:after="40"/>
      <w:ind w:left="284" w:hanging="284"/>
      <w:contextualSpacing w:val="0"/>
      <w:jc w:val="left"/>
    </w:pPr>
  </w:style>
  <w:style w:type="character" w:customStyle="1" w:styleId="GFANumberedLists1Zchn">
    <w:name w:val="GFA Numbered Lists 1 Zchn"/>
    <w:basedOn w:val="ListParagraphChar"/>
    <w:link w:val="GFANumberedLists1"/>
    <w:uiPriority w:val="99"/>
    <w:locked/>
    <w:rsid w:val="0070541D"/>
    <w:rPr>
      <w:rFonts w:ascii="Arial" w:hAnsi="Arial"/>
      <w:sz w:val="21"/>
      <w:szCs w:val="21"/>
      <w:lang w:val="de-DE" w:eastAsia="de-DE" w:bidi="ar-SA"/>
    </w:rPr>
  </w:style>
  <w:style w:type="character" w:customStyle="1" w:styleId="GFABulletedLists1Zchn">
    <w:name w:val="GFA Bulleted Lists 1 Zchn"/>
    <w:basedOn w:val="ListParagraphChar"/>
    <w:link w:val="GFABulletedLists1"/>
    <w:uiPriority w:val="99"/>
    <w:locked/>
    <w:rsid w:val="0070541D"/>
    <w:rPr>
      <w:rFonts w:ascii="Arial" w:hAnsi="Arial"/>
      <w:sz w:val="21"/>
      <w:szCs w:val="21"/>
      <w:lang w:val="de-DE" w:eastAsia="de-DE" w:bidi="ar-SA"/>
    </w:rPr>
  </w:style>
  <w:style w:type="paragraph" w:styleId="TOCHeading">
    <w:name w:val="TOC Heading"/>
    <w:basedOn w:val="Heading1"/>
    <w:next w:val="Normal"/>
    <w:uiPriority w:val="99"/>
    <w:qFormat/>
    <w:rsid w:val="0070541D"/>
    <w:pPr>
      <w:numPr>
        <w:numId w:val="0"/>
      </w:numPr>
      <w:overflowPunct/>
      <w:autoSpaceDE/>
      <w:autoSpaceDN/>
      <w:adjustRightInd/>
      <w:spacing w:after="0" w:line="276" w:lineRule="auto"/>
      <w:textAlignment w:val="auto"/>
      <w:outlineLvl w:val="9"/>
    </w:pPr>
    <w:rPr>
      <w:rFonts w:cs="Times New Roman"/>
      <w:bCs/>
      <w:spacing w:val="0"/>
      <w:szCs w:val="28"/>
      <w:lang w:eastAsia="en-US"/>
    </w:rPr>
  </w:style>
  <w:style w:type="paragraph" w:styleId="TOC6">
    <w:name w:val="toc 6"/>
    <w:basedOn w:val="TOC5"/>
    <w:next w:val="TOC7"/>
    <w:uiPriority w:val="99"/>
    <w:semiHidden/>
    <w:rsid w:val="0070541D"/>
    <w:pPr>
      <w:ind w:left="1134" w:hanging="1134"/>
    </w:pPr>
  </w:style>
  <w:style w:type="paragraph" w:styleId="TOC7">
    <w:name w:val="toc 7"/>
    <w:basedOn w:val="TOC6"/>
    <w:next w:val="TOC8"/>
    <w:uiPriority w:val="99"/>
    <w:semiHidden/>
    <w:rsid w:val="0070541D"/>
  </w:style>
  <w:style w:type="paragraph" w:styleId="TOC8">
    <w:name w:val="toc 8"/>
    <w:basedOn w:val="TOC7"/>
    <w:next w:val="TOC9"/>
    <w:uiPriority w:val="99"/>
    <w:semiHidden/>
    <w:rsid w:val="0070541D"/>
  </w:style>
  <w:style w:type="paragraph" w:styleId="TOC9">
    <w:name w:val="toc 9"/>
    <w:basedOn w:val="TOC8"/>
    <w:uiPriority w:val="99"/>
    <w:semiHidden/>
    <w:rsid w:val="0070541D"/>
  </w:style>
  <w:style w:type="table" w:customStyle="1" w:styleId="GFAInvisible">
    <w:name w:val="GFA Invisible"/>
    <w:uiPriority w:val="99"/>
    <w:rsid w:val="00E54864"/>
    <w:rPr>
      <w:sz w:val="20"/>
      <w:szCs w:val="20"/>
      <w:lang w:val="sr-Latn-CS" w:eastAsia="sr-Latn-CS"/>
    </w:rPr>
    <w:tblPr>
      <w:tblInd w:w="0" w:type="dxa"/>
      <w:tblCellMar>
        <w:top w:w="0" w:type="dxa"/>
        <w:left w:w="0" w:type="dxa"/>
        <w:bottom w:w="0" w:type="dxa"/>
        <w:right w:w="0" w:type="dxa"/>
      </w:tblCellMar>
    </w:tblPr>
  </w:style>
  <w:style w:type="table" w:customStyle="1" w:styleId="HelleSchattierung1">
    <w:name w:val="Helle Schattierung1"/>
    <w:uiPriority w:val="99"/>
    <w:semiHidden/>
    <w:locked/>
    <w:rsid w:val="0070541D"/>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Raster-Akzent11">
    <w:name w:val="Helles Raster - Akzent 11"/>
    <w:uiPriority w:val="99"/>
    <w:semiHidden/>
    <w:locked/>
    <w:rsid w:val="0070541D"/>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insideH w:val="single" w:sz="8" w:space="0" w:color="121754"/>
        <w:insideV w:val="single" w:sz="8" w:space="0" w:color="121754"/>
      </w:tblBorders>
      <w:tblCellMar>
        <w:top w:w="0" w:type="dxa"/>
        <w:left w:w="108" w:type="dxa"/>
        <w:bottom w:w="0" w:type="dxa"/>
        <w:right w:w="108" w:type="dxa"/>
      </w:tblCellMar>
    </w:tblPr>
  </w:style>
  <w:style w:type="table" w:customStyle="1" w:styleId="HelleSchattierung-Akzent11">
    <w:name w:val="Helle Schattierung - Akzent 11"/>
    <w:uiPriority w:val="99"/>
    <w:semiHidden/>
    <w:locked/>
    <w:rsid w:val="0070541D"/>
    <w:rPr>
      <w:color w:val="0D113E"/>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DunkleListe1">
    <w:name w:val="Dunkle Liste1"/>
    <w:uiPriority w:val="99"/>
    <w:semiHidden/>
    <w:locked/>
    <w:rsid w:val="0070541D"/>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semiHidden/>
    <w:locked/>
    <w:rsid w:val="0070541D"/>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12175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90B29"/>
      </w:tcPr>
    </w:tblStylePr>
    <w:tblStylePr w:type="firstCol">
      <w:rPr>
        <w:rFonts w:cs="Times New Roman"/>
      </w:rPr>
      <w:tblPr/>
      <w:tcPr>
        <w:tcBorders>
          <w:top w:val="nil"/>
          <w:left w:val="nil"/>
          <w:bottom w:val="nil"/>
          <w:right w:val="single" w:sz="18" w:space="0" w:color="FFFFFF"/>
          <w:insideH w:val="nil"/>
          <w:insideV w:val="nil"/>
        </w:tcBorders>
        <w:shd w:val="clear" w:color="auto" w:fill="0D113E"/>
      </w:tcPr>
    </w:tblStylePr>
    <w:tblStylePr w:type="lastCol">
      <w:rPr>
        <w:rFonts w:cs="Times New Roman"/>
      </w:rPr>
      <w:tblPr/>
      <w:tcPr>
        <w:tcBorders>
          <w:top w:val="nil"/>
          <w:left w:val="single" w:sz="18" w:space="0" w:color="FFFFFF"/>
          <w:bottom w:val="nil"/>
          <w:right w:val="nil"/>
          <w:insideH w:val="nil"/>
          <w:insideV w:val="nil"/>
        </w:tcBorders>
        <w:shd w:val="clear" w:color="auto" w:fill="0D113E"/>
      </w:tcPr>
    </w:tblStylePr>
    <w:tblStylePr w:type="band1Vert">
      <w:rPr>
        <w:rFonts w:cs="Times New Roman"/>
      </w:rPr>
      <w:tblPr/>
      <w:tcPr>
        <w:tcBorders>
          <w:top w:val="nil"/>
          <w:left w:val="nil"/>
          <w:bottom w:val="nil"/>
          <w:right w:val="nil"/>
          <w:insideH w:val="nil"/>
          <w:insideV w:val="nil"/>
        </w:tcBorders>
        <w:shd w:val="clear" w:color="auto" w:fill="0D113E"/>
      </w:tcPr>
    </w:tblStylePr>
    <w:tblStylePr w:type="band1Horz">
      <w:rPr>
        <w:rFonts w:cs="Times New Roman"/>
      </w:rPr>
      <w:tblPr/>
      <w:tcPr>
        <w:tcBorders>
          <w:top w:val="nil"/>
          <w:left w:val="nil"/>
          <w:bottom w:val="nil"/>
          <w:right w:val="nil"/>
          <w:insideH w:val="nil"/>
          <w:insideV w:val="nil"/>
        </w:tcBorders>
        <w:shd w:val="clear" w:color="auto" w:fill="0D113E"/>
      </w:tcPr>
    </w:tblStylePr>
  </w:style>
  <w:style w:type="table" w:styleId="DarkList-Accent2">
    <w:name w:val="Dark List Accent 2"/>
    <w:basedOn w:val="TableNormal"/>
    <w:uiPriority w:val="99"/>
    <w:semiHidden/>
    <w:locked/>
    <w:rsid w:val="0070541D"/>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148DC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A4566"/>
      </w:tcPr>
    </w:tblStylePr>
    <w:tblStylePr w:type="firstCol">
      <w:rPr>
        <w:rFonts w:cs="Times New Roman"/>
      </w:rPr>
      <w:tblPr/>
      <w:tcPr>
        <w:tcBorders>
          <w:top w:val="nil"/>
          <w:left w:val="nil"/>
          <w:bottom w:val="nil"/>
          <w:right w:val="single" w:sz="18" w:space="0" w:color="FFFFFF"/>
          <w:insideH w:val="nil"/>
          <w:insideV w:val="nil"/>
        </w:tcBorders>
        <w:shd w:val="clear" w:color="auto" w:fill="0F6999"/>
      </w:tcPr>
    </w:tblStylePr>
    <w:tblStylePr w:type="lastCol">
      <w:rPr>
        <w:rFonts w:cs="Times New Roman"/>
      </w:rPr>
      <w:tblPr/>
      <w:tcPr>
        <w:tcBorders>
          <w:top w:val="nil"/>
          <w:left w:val="single" w:sz="18" w:space="0" w:color="FFFFFF"/>
          <w:bottom w:val="nil"/>
          <w:right w:val="nil"/>
          <w:insideH w:val="nil"/>
          <w:insideV w:val="nil"/>
        </w:tcBorders>
        <w:shd w:val="clear" w:color="auto" w:fill="0F6999"/>
      </w:tcPr>
    </w:tblStylePr>
    <w:tblStylePr w:type="band1Vert">
      <w:rPr>
        <w:rFonts w:cs="Times New Roman"/>
      </w:rPr>
      <w:tblPr/>
      <w:tcPr>
        <w:tcBorders>
          <w:top w:val="nil"/>
          <w:left w:val="nil"/>
          <w:bottom w:val="nil"/>
          <w:right w:val="nil"/>
          <w:insideH w:val="nil"/>
          <w:insideV w:val="nil"/>
        </w:tcBorders>
        <w:shd w:val="clear" w:color="auto" w:fill="0F6999"/>
      </w:tcPr>
    </w:tblStylePr>
    <w:tblStylePr w:type="band1Horz">
      <w:rPr>
        <w:rFonts w:cs="Times New Roman"/>
      </w:rPr>
      <w:tblPr/>
      <w:tcPr>
        <w:tcBorders>
          <w:top w:val="nil"/>
          <w:left w:val="nil"/>
          <w:bottom w:val="nil"/>
          <w:right w:val="nil"/>
          <w:insideH w:val="nil"/>
          <w:insideV w:val="nil"/>
        </w:tcBorders>
        <w:shd w:val="clear" w:color="auto" w:fill="0F6999"/>
      </w:tcPr>
    </w:tblStylePr>
  </w:style>
  <w:style w:type="table" w:styleId="DarkList-Accent3">
    <w:name w:val="Dark List Accent 3"/>
    <w:basedOn w:val="TableNormal"/>
    <w:uiPriority w:val="99"/>
    <w:semiHidden/>
    <w:locked/>
    <w:rsid w:val="0070541D"/>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4BAE3"/>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5A93"/>
      </w:tcPr>
    </w:tblStylePr>
    <w:tblStylePr w:type="firstCol">
      <w:rPr>
        <w:rFonts w:cs="Times New Roman"/>
      </w:rPr>
      <w:tblPr/>
      <w:tcPr>
        <w:tcBorders>
          <w:top w:val="nil"/>
          <w:left w:val="nil"/>
          <w:bottom w:val="nil"/>
          <w:right w:val="single" w:sz="18" w:space="0" w:color="FFFFFF"/>
          <w:insideH w:val="nil"/>
          <w:insideV w:val="nil"/>
        </w:tcBorders>
        <w:shd w:val="clear" w:color="auto" w:fill="4989CF"/>
      </w:tcPr>
    </w:tblStylePr>
    <w:tblStylePr w:type="lastCol">
      <w:rPr>
        <w:rFonts w:cs="Times New Roman"/>
      </w:rPr>
      <w:tblPr/>
      <w:tcPr>
        <w:tcBorders>
          <w:top w:val="nil"/>
          <w:left w:val="single" w:sz="18" w:space="0" w:color="FFFFFF"/>
          <w:bottom w:val="nil"/>
          <w:right w:val="nil"/>
          <w:insideH w:val="nil"/>
          <w:insideV w:val="nil"/>
        </w:tcBorders>
        <w:shd w:val="clear" w:color="auto" w:fill="4989CF"/>
      </w:tcPr>
    </w:tblStylePr>
    <w:tblStylePr w:type="band1Vert">
      <w:rPr>
        <w:rFonts w:cs="Times New Roman"/>
      </w:rPr>
      <w:tblPr/>
      <w:tcPr>
        <w:tcBorders>
          <w:top w:val="nil"/>
          <w:left w:val="nil"/>
          <w:bottom w:val="nil"/>
          <w:right w:val="nil"/>
          <w:insideH w:val="nil"/>
          <w:insideV w:val="nil"/>
        </w:tcBorders>
        <w:shd w:val="clear" w:color="auto" w:fill="4989CF"/>
      </w:tcPr>
    </w:tblStylePr>
    <w:tblStylePr w:type="band1Horz">
      <w:rPr>
        <w:rFonts w:cs="Times New Roman"/>
      </w:rPr>
      <w:tblPr/>
      <w:tcPr>
        <w:tcBorders>
          <w:top w:val="nil"/>
          <w:left w:val="nil"/>
          <w:bottom w:val="nil"/>
          <w:right w:val="nil"/>
          <w:insideH w:val="nil"/>
          <w:insideV w:val="nil"/>
        </w:tcBorders>
        <w:shd w:val="clear" w:color="auto" w:fill="4989CF"/>
      </w:tcPr>
    </w:tblStylePr>
  </w:style>
  <w:style w:type="table" w:styleId="DarkList-Accent4">
    <w:name w:val="Dark List Accent 4"/>
    <w:basedOn w:val="TableNormal"/>
    <w:uiPriority w:val="99"/>
    <w:semiHidden/>
    <w:locked/>
    <w:rsid w:val="0070541D"/>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79B51C"/>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C5A0E"/>
      </w:tcPr>
    </w:tblStylePr>
    <w:tblStylePr w:type="firstCol">
      <w:rPr>
        <w:rFonts w:cs="Times New Roman"/>
      </w:rPr>
      <w:tblPr/>
      <w:tcPr>
        <w:tcBorders>
          <w:top w:val="nil"/>
          <w:left w:val="nil"/>
          <w:bottom w:val="nil"/>
          <w:right w:val="single" w:sz="18" w:space="0" w:color="FFFFFF"/>
          <w:insideH w:val="nil"/>
          <w:insideV w:val="nil"/>
        </w:tcBorders>
        <w:shd w:val="clear" w:color="auto" w:fill="5A8715"/>
      </w:tcPr>
    </w:tblStylePr>
    <w:tblStylePr w:type="lastCol">
      <w:rPr>
        <w:rFonts w:cs="Times New Roman"/>
      </w:rPr>
      <w:tblPr/>
      <w:tcPr>
        <w:tcBorders>
          <w:top w:val="nil"/>
          <w:left w:val="single" w:sz="18" w:space="0" w:color="FFFFFF"/>
          <w:bottom w:val="nil"/>
          <w:right w:val="nil"/>
          <w:insideH w:val="nil"/>
          <w:insideV w:val="nil"/>
        </w:tcBorders>
        <w:shd w:val="clear" w:color="auto" w:fill="5A8715"/>
      </w:tcPr>
    </w:tblStylePr>
    <w:tblStylePr w:type="band1Vert">
      <w:rPr>
        <w:rFonts w:cs="Times New Roman"/>
      </w:rPr>
      <w:tblPr/>
      <w:tcPr>
        <w:tcBorders>
          <w:top w:val="nil"/>
          <w:left w:val="nil"/>
          <w:bottom w:val="nil"/>
          <w:right w:val="nil"/>
          <w:insideH w:val="nil"/>
          <w:insideV w:val="nil"/>
        </w:tcBorders>
        <w:shd w:val="clear" w:color="auto" w:fill="5A8715"/>
      </w:tcPr>
    </w:tblStylePr>
    <w:tblStylePr w:type="band1Horz">
      <w:rPr>
        <w:rFonts w:cs="Times New Roman"/>
      </w:rPr>
      <w:tblPr/>
      <w:tcPr>
        <w:tcBorders>
          <w:top w:val="nil"/>
          <w:left w:val="nil"/>
          <w:bottom w:val="nil"/>
          <w:right w:val="nil"/>
          <w:insideH w:val="nil"/>
          <w:insideV w:val="nil"/>
        </w:tcBorders>
        <w:shd w:val="clear" w:color="auto" w:fill="5A8715"/>
      </w:tcPr>
    </w:tblStylePr>
  </w:style>
  <w:style w:type="table" w:styleId="DarkList-Accent5">
    <w:name w:val="Dark List Accent 5"/>
    <w:basedOn w:val="TableNormal"/>
    <w:uiPriority w:val="99"/>
    <w:semiHidden/>
    <w:locked/>
    <w:rsid w:val="0070541D"/>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ACC70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56202"/>
      </w:tcPr>
    </w:tblStylePr>
    <w:tblStylePr w:type="firstCol">
      <w:rPr>
        <w:rFonts w:cs="Times New Roman"/>
      </w:rPr>
      <w:tblPr/>
      <w:tcPr>
        <w:tcBorders>
          <w:top w:val="nil"/>
          <w:left w:val="nil"/>
          <w:bottom w:val="nil"/>
          <w:right w:val="single" w:sz="18" w:space="0" w:color="FFFFFF"/>
          <w:insideH w:val="nil"/>
          <w:insideV w:val="nil"/>
        </w:tcBorders>
        <w:shd w:val="clear" w:color="auto" w:fill="809403"/>
      </w:tcPr>
    </w:tblStylePr>
    <w:tblStylePr w:type="lastCol">
      <w:rPr>
        <w:rFonts w:cs="Times New Roman"/>
      </w:rPr>
      <w:tblPr/>
      <w:tcPr>
        <w:tcBorders>
          <w:top w:val="nil"/>
          <w:left w:val="single" w:sz="18" w:space="0" w:color="FFFFFF"/>
          <w:bottom w:val="nil"/>
          <w:right w:val="nil"/>
          <w:insideH w:val="nil"/>
          <w:insideV w:val="nil"/>
        </w:tcBorders>
        <w:shd w:val="clear" w:color="auto" w:fill="809403"/>
      </w:tcPr>
    </w:tblStylePr>
    <w:tblStylePr w:type="band1Vert">
      <w:rPr>
        <w:rFonts w:cs="Times New Roman"/>
      </w:rPr>
      <w:tblPr/>
      <w:tcPr>
        <w:tcBorders>
          <w:top w:val="nil"/>
          <w:left w:val="nil"/>
          <w:bottom w:val="nil"/>
          <w:right w:val="nil"/>
          <w:insideH w:val="nil"/>
          <w:insideV w:val="nil"/>
        </w:tcBorders>
        <w:shd w:val="clear" w:color="auto" w:fill="809403"/>
      </w:tcPr>
    </w:tblStylePr>
    <w:tblStylePr w:type="band1Horz">
      <w:rPr>
        <w:rFonts w:cs="Times New Roman"/>
      </w:rPr>
      <w:tblPr/>
      <w:tcPr>
        <w:tcBorders>
          <w:top w:val="nil"/>
          <w:left w:val="nil"/>
          <w:bottom w:val="nil"/>
          <w:right w:val="nil"/>
          <w:insideH w:val="nil"/>
          <w:insideV w:val="nil"/>
        </w:tcBorders>
        <w:shd w:val="clear" w:color="auto" w:fill="809403"/>
      </w:tcPr>
    </w:tblStylePr>
  </w:style>
  <w:style w:type="table" w:styleId="DarkList-Accent6">
    <w:name w:val="Dark List Accent 6"/>
    <w:basedOn w:val="TableNormal"/>
    <w:uiPriority w:val="99"/>
    <w:semiHidden/>
    <w:locked/>
    <w:rsid w:val="0070541D"/>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392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94800"/>
      </w:tcPr>
    </w:tblStylePr>
    <w:tblStylePr w:type="firstCol">
      <w:rPr>
        <w:rFonts w:cs="Times New Roman"/>
      </w:rPr>
      <w:tblPr/>
      <w:tcPr>
        <w:tcBorders>
          <w:top w:val="nil"/>
          <w:left w:val="nil"/>
          <w:bottom w:val="nil"/>
          <w:right w:val="single" w:sz="18" w:space="0" w:color="FFFFFF"/>
          <w:insideH w:val="nil"/>
          <w:insideV w:val="nil"/>
        </w:tcBorders>
        <w:shd w:val="clear" w:color="auto" w:fill="B66D00"/>
      </w:tcPr>
    </w:tblStylePr>
    <w:tblStylePr w:type="lastCol">
      <w:rPr>
        <w:rFonts w:cs="Times New Roman"/>
      </w:rPr>
      <w:tblPr/>
      <w:tcPr>
        <w:tcBorders>
          <w:top w:val="nil"/>
          <w:left w:val="single" w:sz="18" w:space="0" w:color="FFFFFF"/>
          <w:bottom w:val="nil"/>
          <w:right w:val="nil"/>
          <w:insideH w:val="nil"/>
          <w:insideV w:val="nil"/>
        </w:tcBorders>
        <w:shd w:val="clear" w:color="auto" w:fill="B66D00"/>
      </w:tcPr>
    </w:tblStylePr>
    <w:tblStylePr w:type="band1Vert">
      <w:rPr>
        <w:rFonts w:cs="Times New Roman"/>
      </w:rPr>
      <w:tblPr/>
      <w:tcPr>
        <w:tcBorders>
          <w:top w:val="nil"/>
          <w:left w:val="nil"/>
          <w:bottom w:val="nil"/>
          <w:right w:val="nil"/>
          <w:insideH w:val="nil"/>
          <w:insideV w:val="nil"/>
        </w:tcBorders>
        <w:shd w:val="clear" w:color="auto" w:fill="B66D00"/>
      </w:tcPr>
    </w:tblStylePr>
    <w:tblStylePr w:type="band1Horz">
      <w:rPr>
        <w:rFonts w:cs="Times New Roman"/>
      </w:rPr>
      <w:tblPr/>
      <w:tcPr>
        <w:tcBorders>
          <w:top w:val="nil"/>
          <w:left w:val="nil"/>
          <w:bottom w:val="nil"/>
          <w:right w:val="nil"/>
          <w:insideH w:val="nil"/>
          <w:insideV w:val="nil"/>
        </w:tcBorders>
        <w:shd w:val="clear" w:color="auto" w:fill="B66D00"/>
      </w:tcPr>
    </w:tblStylePr>
  </w:style>
  <w:style w:type="table" w:customStyle="1" w:styleId="HelleListe1">
    <w:name w:val="Helle Liste1"/>
    <w:uiPriority w:val="99"/>
    <w:semiHidden/>
    <w:rsid w:val="0070541D"/>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HelleListe-Akzent11">
    <w:name w:val="Helle Liste - Akzent 11"/>
    <w:uiPriority w:val="99"/>
    <w:semiHidden/>
    <w:locked/>
    <w:rsid w:val="0070541D"/>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tblBorders>
      <w:tblCellMar>
        <w:top w:w="0" w:type="dxa"/>
        <w:left w:w="108" w:type="dxa"/>
        <w:bottom w:w="0" w:type="dxa"/>
        <w:right w:w="108" w:type="dxa"/>
      </w:tblCellMar>
    </w:tblPr>
  </w:style>
  <w:style w:type="table" w:styleId="LightList-Accent3">
    <w:name w:val="Light List Accent 3"/>
    <w:basedOn w:val="TableNormal"/>
    <w:uiPriority w:val="99"/>
    <w:semiHidden/>
    <w:locked/>
    <w:rsid w:val="0070541D"/>
    <w:rPr>
      <w:sz w:val="20"/>
      <w:szCs w:val="20"/>
    </w:rPr>
    <w:tblPr>
      <w:tblStyleRowBandSize w:val="1"/>
      <w:tblStyleColBandSize w:val="1"/>
      <w:tblInd w:w="0" w:type="dxa"/>
      <w:tblBorders>
        <w:top w:val="single" w:sz="8" w:space="0" w:color="94BAE3"/>
        <w:left w:val="single" w:sz="8" w:space="0" w:color="94BAE3"/>
        <w:bottom w:val="single" w:sz="8" w:space="0" w:color="94BAE3"/>
        <w:right w:val="single" w:sz="8" w:space="0" w:color="94BAE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4BAE3"/>
      </w:tcPr>
    </w:tblStylePr>
    <w:tblStylePr w:type="lastRow">
      <w:pPr>
        <w:spacing w:before="0" w:after="0"/>
      </w:pPr>
      <w:rPr>
        <w:rFonts w:cs="Times New Roman"/>
        <w:b/>
        <w:bCs/>
      </w:rPr>
      <w:tblPr/>
      <w:tcPr>
        <w:tcBorders>
          <w:top w:val="double" w:sz="6" w:space="0" w:color="94BAE3"/>
          <w:left w:val="single" w:sz="8" w:space="0" w:color="94BAE3"/>
          <w:bottom w:val="single" w:sz="8" w:space="0" w:color="94BAE3"/>
          <w:right w:val="single" w:sz="8" w:space="0" w:color="94BAE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4BAE3"/>
          <w:left w:val="single" w:sz="8" w:space="0" w:color="94BAE3"/>
          <w:bottom w:val="single" w:sz="8" w:space="0" w:color="94BAE3"/>
          <w:right w:val="single" w:sz="8" w:space="0" w:color="94BAE3"/>
        </w:tcBorders>
      </w:tcPr>
    </w:tblStylePr>
    <w:tblStylePr w:type="band1Horz">
      <w:rPr>
        <w:rFonts w:cs="Times New Roman"/>
      </w:rPr>
      <w:tblPr/>
      <w:tcPr>
        <w:tcBorders>
          <w:top w:val="single" w:sz="8" w:space="0" w:color="94BAE3"/>
          <w:left w:val="single" w:sz="8" w:space="0" w:color="94BAE3"/>
          <w:bottom w:val="single" w:sz="8" w:space="0" w:color="94BAE3"/>
          <w:right w:val="single" w:sz="8" w:space="0" w:color="94BAE3"/>
        </w:tcBorders>
      </w:tcPr>
    </w:tblStylePr>
  </w:style>
  <w:style w:type="table" w:styleId="LightList-Accent4">
    <w:name w:val="Light List Accent 4"/>
    <w:basedOn w:val="TableNormal"/>
    <w:uiPriority w:val="99"/>
    <w:semiHidden/>
    <w:locked/>
    <w:rsid w:val="0070541D"/>
    <w:rPr>
      <w:sz w:val="20"/>
      <w:szCs w:val="20"/>
    </w:rPr>
    <w:tblPr>
      <w:tblStyleRowBandSize w:val="1"/>
      <w:tblStyleColBandSize w:val="1"/>
      <w:tblInd w:w="0" w:type="dxa"/>
      <w:tblBorders>
        <w:top w:val="single" w:sz="8" w:space="0" w:color="79B51C"/>
        <w:left w:val="single" w:sz="8" w:space="0" w:color="79B51C"/>
        <w:bottom w:val="single" w:sz="8" w:space="0" w:color="79B51C"/>
        <w:right w:val="single" w:sz="8" w:space="0" w:color="79B51C"/>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9B51C"/>
      </w:tcPr>
    </w:tblStylePr>
    <w:tblStylePr w:type="lastRow">
      <w:pPr>
        <w:spacing w:before="0" w:after="0"/>
      </w:pPr>
      <w:rPr>
        <w:rFonts w:cs="Times New Roman"/>
        <w:b/>
        <w:bCs/>
      </w:rPr>
      <w:tblPr/>
      <w:tcPr>
        <w:tcBorders>
          <w:top w:val="double" w:sz="6" w:space="0" w:color="79B51C"/>
          <w:left w:val="single" w:sz="8" w:space="0" w:color="79B51C"/>
          <w:bottom w:val="single" w:sz="8" w:space="0" w:color="79B51C"/>
          <w:right w:val="single" w:sz="8" w:space="0" w:color="79B51C"/>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9B51C"/>
          <w:left w:val="single" w:sz="8" w:space="0" w:color="79B51C"/>
          <w:bottom w:val="single" w:sz="8" w:space="0" w:color="79B51C"/>
          <w:right w:val="single" w:sz="8" w:space="0" w:color="79B51C"/>
        </w:tcBorders>
      </w:tcPr>
    </w:tblStylePr>
    <w:tblStylePr w:type="band1Horz">
      <w:rPr>
        <w:rFonts w:cs="Times New Roman"/>
      </w:rPr>
      <w:tblPr/>
      <w:tcPr>
        <w:tcBorders>
          <w:top w:val="single" w:sz="8" w:space="0" w:color="79B51C"/>
          <w:left w:val="single" w:sz="8" w:space="0" w:color="79B51C"/>
          <w:bottom w:val="single" w:sz="8" w:space="0" w:color="79B51C"/>
          <w:right w:val="single" w:sz="8" w:space="0" w:color="79B51C"/>
        </w:tcBorders>
      </w:tcPr>
    </w:tblStylePr>
  </w:style>
  <w:style w:type="table" w:styleId="LightList-Accent5">
    <w:name w:val="Light List Accent 5"/>
    <w:basedOn w:val="TableNormal"/>
    <w:uiPriority w:val="99"/>
    <w:semiHidden/>
    <w:locked/>
    <w:rsid w:val="0070541D"/>
    <w:rPr>
      <w:sz w:val="20"/>
      <w:szCs w:val="20"/>
    </w:rPr>
    <w:tblPr>
      <w:tblStyleRowBandSize w:val="1"/>
      <w:tblStyleColBandSize w:val="1"/>
      <w:tblInd w:w="0" w:type="dxa"/>
      <w:tblBorders>
        <w:top w:val="single" w:sz="8" w:space="0" w:color="ACC705"/>
        <w:left w:val="single" w:sz="8" w:space="0" w:color="ACC705"/>
        <w:bottom w:val="single" w:sz="8" w:space="0" w:color="ACC705"/>
        <w:right w:val="single" w:sz="8" w:space="0" w:color="ACC70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CC705"/>
      </w:tcPr>
    </w:tblStylePr>
    <w:tblStylePr w:type="lastRow">
      <w:pPr>
        <w:spacing w:before="0" w:after="0"/>
      </w:pPr>
      <w:rPr>
        <w:rFonts w:cs="Times New Roman"/>
        <w:b/>
        <w:bCs/>
      </w:rPr>
      <w:tblPr/>
      <w:tcPr>
        <w:tcBorders>
          <w:top w:val="double" w:sz="6" w:space="0" w:color="ACC705"/>
          <w:left w:val="single" w:sz="8" w:space="0" w:color="ACC705"/>
          <w:bottom w:val="single" w:sz="8" w:space="0" w:color="ACC705"/>
          <w:right w:val="single" w:sz="8" w:space="0" w:color="ACC70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CC705"/>
          <w:left w:val="single" w:sz="8" w:space="0" w:color="ACC705"/>
          <w:bottom w:val="single" w:sz="8" w:space="0" w:color="ACC705"/>
          <w:right w:val="single" w:sz="8" w:space="0" w:color="ACC705"/>
        </w:tcBorders>
      </w:tcPr>
    </w:tblStylePr>
    <w:tblStylePr w:type="band1Horz">
      <w:rPr>
        <w:rFonts w:cs="Times New Roman"/>
      </w:rPr>
      <w:tblPr/>
      <w:tcPr>
        <w:tcBorders>
          <w:top w:val="single" w:sz="8" w:space="0" w:color="ACC705"/>
          <w:left w:val="single" w:sz="8" w:space="0" w:color="ACC705"/>
          <w:bottom w:val="single" w:sz="8" w:space="0" w:color="ACC705"/>
          <w:right w:val="single" w:sz="8" w:space="0" w:color="ACC705"/>
        </w:tcBorders>
      </w:tcPr>
    </w:tblStylePr>
  </w:style>
  <w:style w:type="table" w:styleId="LightList-Accent6">
    <w:name w:val="Light List Accent 6"/>
    <w:basedOn w:val="TableNormal"/>
    <w:uiPriority w:val="99"/>
    <w:semiHidden/>
    <w:locked/>
    <w:rsid w:val="0070541D"/>
    <w:rPr>
      <w:sz w:val="20"/>
      <w:szCs w:val="20"/>
    </w:rPr>
    <w:tblPr>
      <w:tblStyleRowBandSize w:val="1"/>
      <w:tblStyleColBandSize w:val="1"/>
      <w:tblInd w:w="0" w:type="dxa"/>
      <w:tblBorders>
        <w:top w:val="single" w:sz="8" w:space="0" w:color="F39200"/>
        <w:left w:val="single" w:sz="8" w:space="0" w:color="F39200"/>
        <w:bottom w:val="single" w:sz="8" w:space="0" w:color="F39200"/>
        <w:right w:val="single" w:sz="8" w:space="0" w:color="F392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39200"/>
      </w:tcPr>
    </w:tblStylePr>
    <w:tblStylePr w:type="lastRow">
      <w:pPr>
        <w:spacing w:before="0" w:after="0"/>
      </w:pPr>
      <w:rPr>
        <w:rFonts w:cs="Times New Roman"/>
        <w:b/>
        <w:bCs/>
      </w:rPr>
      <w:tblPr/>
      <w:tcPr>
        <w:tcBorders>
          <w:top w:val="double" w:sz="6" w:space="0" w:color="F39200"/>
          <w:left w:val="single" w:sz="8" w:space="0" w:color="F39200"/>
          <w:bottom w:val="single" w:sz="8" w:space="0" w:color="F39200"/>
          <w:right w:val="single" w:sz="8" w:space="0" w:color="F392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39200"/>
          <w:left w:val="single" w:sz="8" w:space="0" w:color="F39200"/>
          <w:bottom w:val="single" w:sz="8" w:space="0" w:color="F39200"/>
          <w:right w:val="single" w:sz="8" w:space="0" w:color="F39200"/>
        </w:tcBorders>
      </w:tcPr>
    </w:tblStylePr>
    <w:tblStylePr w:type="band1Horz">
      <w:rPr>
        <w:rFonts w:cs="Times New Roman"/>
      </w:rPr>
      <w:tblPr/>
      <w:tcPr>
        <w:tcBorders>
          <w:top w:val="single" w:sz="8" w:space="0" w:color="F39200"/>
          <w:left w:val="single" w:sz="8" w:space="0" w:color="F39200"/>
          <w:bottom w:val="single" w:sz="8" w:space="0" w:color="F39200"/>
          <w:right w:val="single" w:sz="8" w:space="0" w:color="F39200"/>
        </w:tcBorders>
      </w:tcPr>
    </w:tblStylePr>
  </w:style>
  <w:style w:type="table" w:styleId="LightShading-Accent2">
    <w:name w:val="Light Shading Accent 2"/>
    <w:basedOn w:val="TableNormal"/>
    <w:uiPriority w:val="99"/>
    <w:semiHidden/>
    <w:locked/>
    <w:rsid w:val="0070541D"/>
    <w:rPr>
      <w:color w:val="0F6999"/>
      <w:sz w:val="20"/>
      <w:szCs w:val="20"/>
    </w:rPr>
    <w:tblPr>
      <w:tblStyleRowBandSize w:val="1"/>
      <w:tblStyleColBandSize w:val="1"/>
      <w:tblInd w:w="0" w:type="dxa"/>
      <w:tblBorders>
        <w:top w:val="single" w:sz="8" w:space="0" w:color="148DCD"/>
        <w:bottom w:val="single" w:sz="8" w:space="0" w:color="148DC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148DCD"/>
          <w:left w:val="nil"/>
          <w:bottom w:val="single" w:sz="8" w:space="0" w:color="148DCD"/>
          <w:right w:val="nil"/>
          <w:insideH w:val="nil"/>
          <w:insideV w:val="nil"/>
        </w:tcBorders>
      </w:tcPr>
    </w:tblStylePr>
    <w:tblStylePr w:type="lastRow">
      <w:pPr>
        <w:spacing w:before="0" w:after="0"/>
      </w:pPr>
      <w:rPr>
        <w:rFonts w:cs="Times New Roman"/>
        <w:b/>
        <w:bCs/>
      </w:rPr>
      <w:tblPr/>
      <w:tcPr>
        <w:tcBorders>
          <w:top w:val="single" w:sz="8" w:space="0" w:color="148DCD"/>
          <w:left w:val="nil"/>
          <w:bottom w:val="single" w:sz="8" w:space="0" w:color="148DC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EE4F8"/>
      </w:tcPr>
    </w:tblStylePr>
    <w:tblStylePr w:type="band1Horz">
      <w:rPr>
        <w:rFonts w:cs="Times New Roman"/>
      </w:rPr>
      <w:tblPr/>
      <w:tcPr>
        <w:tcBorders>
          <w:left w:val="nil"/>
          <w:right w:val="nil"/>
          <w:insideH w:val="nil"/>
          <w:insideV w:val="nil"/>
        </w:tcBorders>
        <w:shd w:val="clear" w:color="auto" w:fill="BEE4F8"/>
      </w:tcPr>
    </w:tblStylePr>
  </w:style>
  <w:style w:type="table" w:styleId="LightShading-Accent3">
    <w:name w:val="Light Shading Accent 3"/>
    <w:basedOn w:val="TableNormal"/>
    <w:uiPriority w:val="99"/>
    <w:semiHidden/>
    <w:locked/>
    <w:rsid w:val="0070541D"/>
    <w:rPr>
      <w:color w:val="4989CF"/>
      <w:sz w:val="20"/>
      <w:szCs w:val="20"/>
    </w:rPr>
    <w:tblPr>
      <w:tblStyleRowBandSize w:val="1"/>
      <w:tblStyleColBandSize w:val="1"/>
      <w:tblInd w:w="0" w:type="dxa"/>
      <w:tblBorders>
        <w:top w:val="single" w:sz="8" w:space="0" w:color="94BAE3"/>
        <w:bottom w:val="single" w:sz="8" w:space="0" w:color="94BAE3"/>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4BAE3"/>
          <w:left w:val="nil"/>
          <w:bottom w:val="single" w:sz="8" w:space="0" w:color="94BAE3"/>
          <w:right w:val="nil"/>
          <w:insideH w:val="nil"/>
          <w:insideV w:val="nil"/>
        </w:tcBorders>
      </w:tcPr>
    </w:tblStylePr>
    <w:tblStylePr w:type="lastRow">
      <w:pPr>
        <w:spacing w:before="0" w:after="0"/>
      </w:pPr>
      <w:rPr>
        <w:rFonts w:cs="Times New Roman"/>
        <w:b/>
        <w:bCs/>
      </w:rPr>
      <w:tblPr/>
      <w:tcPr>
        <w:tcBorders>
          <w:top w:val="single" w:sz="8" w:space="0" w:color="94BAE3"/>
          <w:left w:val="nil"/>
          <w:bottom w:val="single" w:sz="8" w:space="0" w:color="94BAE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4EDF8"/>
      </w:tcPr>
    </w:tblStylePr>
    <w:tblStylePr w:type="band1Horz">
      <w:rPr>
        <w:rFonts w:cs="Times New Roman"/>
      </w:rPr>
      <w:tblPr/>
      <w:tcPr>
        <w:tcBorders>
          <w:left w:val="nil"/>
          <w:right w:val="nil"/>
          <w:insideH w:val="nil"/>
          <w:insideV w:val="nil"/>
        </w:tcBorders>
        <w:shd w:val="clear" w:color="auto" w:fill="E4EDF8"/>
      </w:tcPr>
    </w:tblStylePr>
  </w:style>
  <w:style w:type="table" w:styleId="LightShading-Accent4">
    <w:name w:val="Light Shading Accent 4"/>
    <w:basedOn w:val="TableNormal"/>
    <w:uiPriority w:val="99"/>
    <w:semiHidden/>
    <w:locked/>
    <w:rsid w:val="0070541D"/>
    <w:rPr>
      <w:color w:val="5A8715"/>
      <w:sz w:val="20"/>
      <w:szCs w:val="20"/>
    </w:rPr>
    <w:tblPr>
      <w:tblStyleRowBandSize w:val="1"/>
      <w:tblStyleColBandSize w:val="1"/>
      <w:tblInd w:w="0" w:type="dxa"/>
      <w:tblBorders>
        <w:top w:val="single" w:sz="8" w:space="0" w:color="79B51C"/>
        <w:bottom w:val="single" w:sz="8" w:space="0" w:color="79B51C"/>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9B51C"/>
          <w:left w:val="nil"/>
          <w:bottom w:val="single" w:sz="8" w:space="0" w:color="79B51C"/>
          <w:right w:val="nil"/>
          <w:insideH w:val="nil"/>
          <w:insideV w:val="nil"/>
        </w:tcBorders>
      </w:tcPr>
    </w:tblStylePr>
    <w:tblStylePr w:type="lastRow">
      <w:pPr>
        <w:spacing w:before="0" w:after="0"/>
      </w:pPr>
      <w:rPr>
        <w:rFonts w:cs="Times New Roman"/>
        <w:b/>
        <w:bCs/>
      </w:rPr>
      <w:tblPr/>
      <w:tcPr>
        <w:tcBorders>
          <w:top w:val="single" w:sz="8" w:space="0" w:color="79B51C"/>
          <w:left w:val="nil"/>
          <w:bottom w:val="single" w:sz="8" w:space="0" w:color="79B51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F5BE"/>
      </w:tcPr>
    </w:tblStylePr>
    <w:tblStylePr w:type="band1Horz">
      <w:rPr>
        <w:rFonts w:cs="Times New Roman"/>
      </w:rPr>
      <w:tblPr/>
      <w:tcPr>
        <w:tcBorders>
          <w:left w:val="nil"/>
          <w:right w:val="nil"/>
          <w:insideH w:val="nil"/>
          <w:insideV w:val="nil"/>
        </w:tcBorders>
        <w:shd w:val="clear" w:color="auto" w:fill="DFF5BE"/>
      </w:tcPr>
    </w:tblStylePr>
  </w:style>
  <w:style w:type="table" w:styleId="LightShading-Accent5">
    <w:name w:val="Light Shading Accent 5"/>
    <w:basedOn w:val="TableNormal"/>
    <w:uiPriority w:val="99"/>
    <w:semiHidden/>
    <w:locked/>
    <w:rsid w:val="0070541D"/>
    <w:rPr>
      <w:color w:val="809403"/>
      <w:sz w:val="20"/>
      <w:szCs w:val="20"/>
    </w:rPr>
    <w:tblPr>
      <w:tblStyleRowBandSize w:val="1"/>
      <w:tblStyleColBandSize w:val="1"/>
      <w:tblInd w:w="0" w:type="dxa"/>
      <w:tblBorders>
        <w:top w:val="single" w:sz="8" w:space="0" w:color="ACC705"/>
        <w:bottom w:val="single" w:sz="8" w:space="0" w:color="ACC70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CC705"/>
          <w:left w:val="nil"/>
          <w:bottom w:val="single" w:sz="8" w:space="0" w:color="ACC705"/>
          <w:right w:val="nil"/>
          <w:insideH w:val="nil"/>
          <w:insideV w:val="nil"/>
        </w:tcBorders>
      </w:tcPr>
    </w:tblStylePr>
    <w:tblStylePr w:type="lastRow">
      <w:pPr>
        <w:spacing w:before="0" w:after="0"/>
      </w:pPr>
      <w:rPr>
        <w:rFonts w:cs="Times New Roman"/>
        <w:b/>
        <w:bCs/>
      </w:rPr>
      <w:tblPr/>
      <w:tcPr>
        <w:tcBorders>
          <w:top w:val="single" w:sz="8" w:space="0" w:color="ACC705"/>
          <w:left w:val="nil"/>
          <w:bottom w:val="single" w:sz="8" w:space="0" w:color="ACC70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3FDB5"/>
      </w:tcPr>
    </w:tblStylePr>
    <w:tblStylePr w:type="band1Horz">
      <w:rPr>
        <w:rFonts w:cs="Times New Roman"/>
      </w:rPr>
      <w:tblPr/>
      <w:tcPr>
        <w:tcBorders>
          <w:left w:val="nil"/>
          <w:right w:val="nil"/>
          <w:insideH w:val="nil"/>
          <w:insideV w:val="nil"/>
        </w:tcBorders>
        <w:shd w:val="clear" w:color="auto" w:fill="F3FDB5"/>
      </w:tcPr>
    </w:tblStylePr>
  </w:style>
  <w:style w:type="table" w:styleId="LightShading-Accent6">
    <w:name w:val="Light Shading Accent 6"/>
    <w:basedOn w:val="TableNormal"/>
    <w:uiPriority w:val="99"/>
    <w:semiHidden/>
    <w:locked/>
    <w:rsid w:val="0070541D"/>
    <w:rPr>
      <w:color w:val="B66D00"/>
      <w:sz w:val="20"/>
      <w:szCs w:val="20"/>
    </w:rPr>
    <w:tblPr>
      <w:tblStyleRowBandSize w:val="1"/>
      <w:tblStyleColBandSize w:val="1"/>
      <w:tblInd w:w="0" w:type="dxa"/>
      <w:tblBorders>
        <w:top w:val="single" w:sz="8" w:space="0" w:color="F39200"/>
        <w:bottom w:val="single" w:sz="8" w:space="0" w:color="F392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39200"/>
          <w:left w:val="nil"/>
          <w:bottom w:val="single" w:sz="8" w:space="0" w:color="F39200"/>
          <w:right w:val="nil"/>
          <w:insideH w:val="nil"/>
          <w:insideV w:val="nil"/>
        </w:tcBorders>
      </w:tcPr>
    </w:tblStylePr>
    <w:tblStylePr w:type="lastRow">
      <w:pPr>
        <w:spacing w:before="0" w:after="0"/>
      </w:pPr>
      <w:rPr>
        <w:rFonts w:cs="Times New Roman"/>
        <w:b/>
        <w:bCs/>
      </w:rPr>
      <w:tblPr/>
      <w:tcPr>
        <w:tcBorders>
          <w:top w:val="single" w:sz="8" w:space="0" w:color="F39200"/>
          <w:left w:val="nil"/>
          <w:bottom w:val="single" w:sz="8" w:space="0" w:color="F392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4BD"/>
      </w:tcPr>
    </w:tblStylePr>
    <w:tblStylePr w:type="band1Horz">
      <w:rPr>
        <w:rFonts w:cs="Times New Roman"/>
      </w:rPr>
      <w:tblPr/>
      <w:tcPr>
        <w:tcBorders>
          <w:left w:val="nil"/>
          <w:right w:val="nil"/>
          <w:insideH w:val="nil"/>
          <w:insideV w:val="nil"/>
        </w:tcBorders>
        <w:shd w:val="clear" w:color="auto" w:fill="FFE4BD"/>
      </w:tcPr>
    </w:tblStylePr>
  </w:style>
  <w:style w:type="table" w:customStyle="1" w:styleId="HellesRaster1">
    <w:name w:val="Helles Raster1"/>
    <w:uiPriority w:val="99"/>
    <w:semiHidden/>
    <w:locked/>
    <w:rsid w:val="0070541D"/>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Grid-Accent2">
    <w:name w:val="Light Grid Accent 2"/>
    <w:basedOn w:val="TableNormal"/>
    <w:uiPriority w:val="99"/>
    <w:semiHidden/>
    <w:locked/>
    <w:rsid w:val="0070541D"/>
    <w:rPr>
      <w:sz w:val="20"/>
      <w:szCs w:val="20"/>
    </w:rPr>
    <w:tblPr>
      <w:tblStyleRowBandSize w:val="1"/>
      <w:tblStyleColBandSize w:val="1"/>
      <w:tblInd w:w="0" w:type="dxa"/>
      <w:tblBorders>
        <w:top w:val="single" w:sz="8" w:space="0" w:color="148DCD"/>
        <w:left w:val="single" w:sz="8" w:space="0" w:color="148DCD"/>
        <w:bottom w:val="single" w:sz="8" w:space="0" w:color="148DCD"/>
        <w:right w:val="single" w:sz="8" w:space="0" w:color="148DCD"/>
        <w:insideH w:val="single" w:sz="8" w:space="0" w:color="148DCD"/>
        <w:insideV w:val="single" w:sz="8" w:space="0" w:color="148DCD"/>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148DCD"/>
          <w:left w:val="single" w:sz="8" w:space="0" w:color="148DCD"/>
          <w:bottom w:val="single" w:sz="18" w:space="0" w:color="148DCD"/>
          <w:right w:val="single" w:sz="8" w:space="0" w:color="148DCD"/>
          <w:insideH w:val="nil"/>
          <w:insideV w:val="single" w:sz="8" w:space="0" w:color="148DCD"/>
        </w:tcBorders>
      </w:tcPr>
    </w:tblStylePr>
    <w:tblStylePr w:type="lastRow">
      <w:pPr>
        <w:spacing w:before="0" w:after="0"/>
      </w:pPr>
      <w:rPr>
        <w:rFonts w:ascii="Arial" w:eastAsia="Times New Roman" w:hAnsi="Arial" w:cs="Times New Roman"/>
        <w:b/>
        <w:bCs/>
      </w:rPr>
      <w:tblPr/>
      <w:tcPr>
        <w:tcBorders>
          <w:top w:val="double" w:sz="6" w:space="0" w:color="148DCD"/>
          <w:left w:val="single" w:sz="8" w:space="0" w:color="148DCD"/>
          <w:bottom w:val="single" w:sz="8" w:space="0" w:color="148DCD"/>
          <w:right w:val="single" w:sz="8" w:space="0" w:color="148DCD"/>
          <w:insideH w:val="nil"/>
          <w:insideV w:val="single" w:sz="8" w:space="0" w:color="148DC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148DCD"/>
          <w:left w:val="single" w:sz="8" w:space="0" w:color="148DCD"/>
          <w:bottom w:val="single" w:sz="8" w:space="0" w:color="148DCD"/>
          <w:right w:val="single" w:sz="8" w:space="0" w:color="148DCD"/>
        </w:tcBorders>
      </w:tcPr>
    </w:tblStylePr>
    <w:tblStylePr w:type="band1Vert">
      <w:rPr>
        <w:rFonts w:cs="Times New Roman"/>
      </w:rPr>
      <w:tblPr/>
      <w:tcPr>
        <w:tcBorders>
          <w:top w:val="single" w:sz="8" w:space="0" w:color="148DCD"/>
          <w:left w:val="single" w:sz="8" w:space="0" w:color="148DCD"/>
          <w:bottom w:val="single" w:sz="8" w:space="0" w:color="148DCD"/>
          <w:right w:val="single" w:sz="8" w:space="0" w:color="148DCD"/>
        </w:tcBorders>
        <w:shd w:val="clear" w:color="auto" w:fill="BEE4F8"/>
      </w:tcPr>
    </w:tblStylePr>
    <w:tblStylePr w:type="band1Horz">
      <w:rPr>
        <w:rFonts w:cs="Times New Roman"/>
      </w:rPr>
      <w:tblPr/>
      <w:tcPr>
        <w:tcBorders>
          <w:top w:val="single" w:sz="8" w:space="0" w:color="148DCD"/>
          <w:left w:val="single" w:sz="8" w:space="0" w:color="148DCD"/>
          <w:bottom w:val="single" w:sz="8" w:space="0" w:color="148DCD"/>
          <w:right w:val="single" w:sz="8" w:space="0" w:color="148DCD"/>
          <w:insideV w:val="single" w:sz="8" w:space="0" w:color="148DCD"/>
        </w:tcBorders>
        <w:shd w:val="clear" w:color="auto" w:fill="BEE4F8"/>
      </w:tcPr>
    </w:tblStylePr>
    <w:tblStylePr w:type="band2Horz">
      <w:rPr>
        <w:rFonts w:cs="Times New Roman"/>
      </w:rPr>
      <w:tblPr/>
      <w:tcPr>
        <w:tcBorders>
          <w:top w:val="single" w:sz="8" w:space="0" w:color="148DCD"/>
          <w:left w:val="single" w:sz="8" w:space="0" w:color="148DCD"/>
          <w:bottom w:val="single" w:sz="8" w:space="0" w:color="148DCD"/>
          <w:right w:val="single" w:sz="8" w:space="0" w:color="148DCD"/>
          <w:insideV w:val="single" w:sz="8" w:space="0" w:color="148DCD"/>
        </w:tcBorders>
      </w:tcPr>
    </w:tblStylePr>
  </w:style>
  <w:style w:type="table" w:styleId="LightGrid-Accent3">
    <w:name w:val="Light Grid Accent 3"/>
    <w:basedOn w:val="TableNormal"/>
    <w:uiPriority w:val="99"/>
    <w:semiHidden/>
    <w:locked/>
    <w:rsid w:val="0070541D"/>
    <w:rPr>
      <w:sz w:val="20"/>
      <w:szCs w:val="20"/>
    </w:rPr>
    <w:tblPr>
      <w:tblStyleRowBandSize w:val="1"/>
      <w:tblStyleColBandSize w:val="1"/>
      <w:tblInd w:w="0" w:type="dxa"/>
      <w:tblBorders>
        <w:top w:val="single" w:sz="8" w:space="0" w:color="94BAE3"/>
        <w:left w:val="single" w:sz="8" w:space="0" w:color="94BAE3"/>
        <w:bottom w:val="single" w:sz="8" w:space="0" w:color="94BAE3"/>
        <w:right w:val="single" w:sz="8" w:space="0" w:color="94BAE3"/>
        <w:insideH w:val="single" w:sz="8" w:space="0" w:color="94BAE3"/>
        <w:insideV w:val="single" w:sz="8" w:space="0" w:color="94BAE3"/>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94BAE3"/>
          <w:left w:val="single" w:sz="8" w:space="0" w:color="94BAE3"/>
          <w:bottom w:val="single" w:sz="18" w:space="0" w:color="94BAE3"/>
          <w:right w:val="single" w:sz="8" w:space="0" w:color="94BAE3"/>
          <w:insideH w:val="nil"/>
          <w:insideV w:val="single" w:sz="8" w:space="0" w:color="94BAE3"/>
        </w:tcBorders>
      </w:tcPr>
    </w:tblStylePr>
    <w:tblStylePr w:type="lastRow">
      <w:pPr>
        <w:spacing w:before="0" w:after="0"/>
      </w:pPr>
      <w:rPr>
        <w:rFonts w:ascii="Arial" w:eastAsia="Times New Roman" w:hAnsi="Arial" w:cs="Times New Roman"/>
        <w:b/>
        <w:bCs/>
      </w:rPr>
      <w:tblPr/>
      <w:tcPr>
        <w:tcBorders>
          <w:top w:val="double" w:sz="6" w:space="0" w:color="94BAE3"/>
          <w:left w:val="single" w:sz="8" w:space="0" w:color="94BAE3"/>
          <w:bottom w:val="single" w:sz="8" w:space="0" w:color="94BAE3"/>
          <w:right w:val="single" w:sz="8" w:space="0" w:color="94BAE3"/>
          <w:insideH w:val="nil"/>
          <w:insideV w:val="single" w:sz="8" w:space="0" w:color="94BAE3"/>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4BAE3"/>
          <w:left w:val="single" w:sz="8" w:space="0" w:color="94BAE3"/>
          <w:bottom w:val="single" w:sz="8" w:space="0" w:color="94BAE3"/>
          <w:right w:val="single" w:sz="8" w:space="0" w:color="94BAE3"/>
        </w:tcBorders>
      </w:tcPr>
    </w:tblStylePr>
    <w:tblStylePr w:type="band1Vert">
      <w:rPr>
        <w:rFonts w:cs="Times New Roman"/>
      </w:rPr>
      <w:tblPr/>
      <w:tcPr>
        <w:tcBorders>
          <w:top w:val="single" w:sz="8" w:space="0" w:color="94BAE3"/>
          <w:left w:val="single" w:sz="8" w:space="0" w:color="94BAE3"/>
          <w:bottom w:val="single" w:sz="8" w:space="0" w:color="94BAE3"/>
          <w:right w:val="single" w:sz="8" w:space="0" w:color="94BAE3"/>
        </w:tcBorders>
        <w:shd w:val="clear" w:color="auto" w:fill="E4EDF8"/>
      </w:tcPr>
    </w:tblStylePr>
    <w:tblStylePr w:type="band1Horz">
      <w:rPr>
        <w:rFonts w:cs="Times New Roman"/>
      </w:rPr>
      <w:tblPr/>
      <w:tcPr>
        <w:tcBorders>
          <w:top w:val="single" w:sz="8" w:space="0" w:color="94BAE3"/>
          <w:left w:val="single" w:sz="8" w:space="0" w:color="94BAE3"/>
          <w:bottom w:val="single" w:sz="8" w:space="0" w:color="94BAE3"/>
          <w:right w:val="single" w:sz="8" w:space="0" w:color="94BAE3"/>
          <w:insideV w:val="single" w:sz="8" w:space="0" w:color="94BAE3"/>
        </w:tcBorders>
        <w:shd w:val="clear" w:color="auto" w:fill="E4EDF8"/>
      </w:tcPr>
    </w:tblStylePr>
    <w:tblStylePr w:type="band2Horz">
      <w:rPr>
        <w:rFonts w:cs="Times New Roman"/>
      </w:rPr>
      <w:tblPr/>
      <w:tcPr>
        <w:tcBorders>
          <w:top w:val="single" w:sz="8" w:space="0" w:color="94BAE3"/>
          <w:left w:val="single" w:sz="8" w:space="0" w:color="94BAE3"/>
          <w:bottom w:val="single" w:sz="8" w:space="0" w:color="94BAE3"/>
          <w:right w:val="single" w:sz="8" w:space="0" w:color="94BAE3"/>
          <w:insideV w:val="single" w:sz="8" w:space="0" w:color="94BAE3"/>
        </w:tcBorders>
      </w:tcPr>
    </w:tblStylePr>
  </w:style>
  <w:style w:type="table" w:styleId="LightGrid-Accent4">
    <w:name w:val="Light Grid Accent 4"/>
    <w:basedOn w:val="TableNormal"/>
    <w:uiPriority w:val="99"/>
    <w:semiHidden/>
    <w:locked/>
    <w:rsid w:val="0070541D"/>
    <w:rPr>
      <w:sz w:val="20"/>
      <w:szCs w:val="20"/>
    </w:rPr>
    <w:tblPr>
      <w:tblStyleRowBandSize w:val="1"/>
      <w:tblStyleColBandSize w:val="1"/>
      <w:tblInd w:w="0" w:type="dxa"/>
      <w:tblBorders>
        <w:top w:val="single" w:sz="8" w:space="0" w:color="79B51C"/>
        <w:left w:val="single" w:sz="8" w:space="0" w:color="79B51C"/>
        <w:bottom w:val="single" w:sz="8" w:space="0" w:color="79B51C"/>
        <w:right w:val="single" w:sz="8" w:space="0" w:color="79B51C"/>
        <w:insideH w:val="single" w:sz="8" w:space="0" w:color="79B51C"/>
        <w:insideV w:val="single" w:sz="8" w:space="0" w:color="79B51C"/>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79B51C"/>
          <w:left w:val="single" w:sz="8" w:space="0" w:color="79B51C"/>
          <w:bottom w:val="single" w:sz="18" w:space="0" w:color="79B51C"/>
          <w:right w:val="single" w:sz="8" w:space="0" w:color="79B51C"/>
          <w:insideH w:val="nil"/>
          <w:insideV w:val="single" w:sz="8" w:space="0" w:color="79B51C"/>
        </w:tcBorders>
      </w:tcPr>
    </w:tblStylePr>
    <w:tblStylePr w:type="lastRow">
      <w:pPr>
        <w:spacing w:before="0" w:after="0"/>
      </w:pPr>
      <w:rPr>
        <w:rFonts w:ascii="Arial" w:eastAsia="Times New Roman" w:hAnsi="Arial" w:cs="Times New Roman"/>
        <w:b/>
        <w:bCs/>
      </w:rPr>
      <w:tblPr/>
      <w:tcPr>
        <w:tcBorders>
          <w:top w:val="double" w:sz="6" w:space="0" w:color="79B51C"/>
          <w:left w:val="single" w:sz="8" w:space="0" w:color="79B51C"/>
          <w:bottom w:val="single" w:sz="8" w:space="0" w:color="79B51C"/>
          <w:right w:val="single" w:sz="8" w:space="0" w:color="79B51C"/>
          <w:insideH w:val="nil"/>
          <w:insideV w:val="single" w:sz="8" w:space="0" w:color="79B51C"/>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79B51C"/>
          <w:left w:val="single" w:sz="8" w:space="0" w:color="79B51C"/>
          <w:bottom w:val="single" w:sz="8" w:space="0" w:color="79B51C"/>
          <w:right w:val="single" w:sz="8" w:space="0" w:color="79B51C"/>
        </w:tcBorders>
      </w:tcPr>
    </w:tblStylePr>
    <w:tblStylePr w:type="band1Vert">
      <w:rPr>
        <w:rFonts w:cs="Times New Roman"/>
      </w:rPr>
      <w:tblPr/>
      <w:tcPr>
        <w:tcBorders>
          <w:top w:val="single" w:sz="8" w:space="0" w:color="79B51C"/>
          <w:left w:val="single" w:sz="8" w:space="0" w:color="79B51C"/>
          <w:bottom w:val="single" w:sz="8" w:space="0" w:color="79B51C"/>
          <w:right w:val="single" w:sz="8" w:space="0" w:color="79B51C"/>
        </w:tcBorders>
        <w:shd w:val="clear" w:color="auto" w:fill="DFF5BE"/>
      </w:tcPr>
    </w:tblStylePr>
    <w:tblStylePr w:type="band1Horz">
      <w:rPr>
        <w:rFonts w:cs="Times New Roman"/>
      </w:rPr>
      <w:tblPr/>
      <w:tcPr>
        <w:tcBorders>
          <w:top w:val="single" w:sz="8" w:space="0" w:color="79B51C"/>
          <w:left w:val="single" w:sz="8" w:space="0" w:color="79B51C"/>
          <w:bottom w:val="single" w:sz="8" w:space="0" w:color="79B51C"/>
          <w:right w:val="single" w:sz="8" w:space="0" w:color="79B51C"/>
          <w:insideV w:val="single" w:sz="8" w:space="0" w:color="79B51C"/>
        </w:tcBorders>
        <w:shd w:val="clear" w:color="auto" w:fill="DFF5BE"/>
      </w:tcPr>
    </w:tblStylePr>
    <w:tblStylePr w:type="band2Horz">
      <w:rPr>
        <w:rFonts w:cs="Times New Roman"/>
      </w:rPr>
      <w:tblPr/>
      <w:tcPr>
        <w:tcBorders>
          <w:top w:val="single" w:sz="8" w:space="0" w:color="79B51C"/>
          <w:left w:val="single" w:sz="8" w:space="0" w:color="79B51C"/>
          <w:bottom w:val="single" w:sz="8" w:space="0" w:color="79B51C"/>
          <w:right w:val="single" w:sz="8" w:space="0" w:color="79B51C"/>
          <w:insideV w:val="single" w:sz="8" w:space="0" w:color="79B51C"/>
        </w:tcBorders>
      </w:tcPr>
    </w:tblStylePr>
  </w:style>
  <w:style w:type="table" w:styleId="LightGrid-Accent5">
    <w:name w:val="Light Grid Accent 5"/>
    <w:basedOn w:val="TableNormal"/>
    <w:uiPriority w:val="99"/>
    <w:semiHidden/>
    <w:locked/>
    <w:rsid w:val="0070541D"/>
    <w:rPr>
      <w:sz w:val="20"/>
      <w:szCs w:val="20"/>
    </w:rPr>
    <w:tblPr>
      <w:tblStyleRowBandSize w:val="1"/>
      <w:tblStyleColBandSize w:val="1"/>
      <w:tblInd w:w="0" w:type="dxa"/>
      <w:tblBorders>
        <w:top w:val="single" w:sz="8" w:space="0" w:color="ACC705"/>
        <w:left w:val="single" w:sz="8" w:space="0" w:color="ACC705"/>
        <w:bottom w:val="single" w:sz="8" w:space="0" w:color="ACC705"/>
        <w:right w:val="single" w:sz="8" w:space="0" w:color="ACC705"/>
        <w:insideH w:val="single" w:sz="8" w:space="0" w:color="ACC705"/>
        <w:insideV w:val="single" w:sz="8" w:space="0" w:color="ACC705"/>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ACC705"/>
          <w:left w:val="single" w:sz="8" w:space="0" w:color="ACC705"/>
          <w:bottom w:val="single" w:sz="18" w:space="0" w:color="ACC705"/>
          <w:right w:val="single" w:sz="8" w:space="0" w:color="ACC705"/>
          <w:insideH w:val="nil"/>
          <w:insideV w:val="single" w:sz="8" w:space="0" w:color="ACC705"/>
        </w:tcBorders>
      </w:tcPr>
    </w:tblStylePr>
    <w:tblStylePr w:type="lastRow">
      <w:pPr>
        <w:spacing w:before="0" w:after="0"/>
      </w:pPr>
      <w:rPr>
        <w:rFonts w:ascii="Arial" w:eastAsia="Times New Roman" w:hAnsi="Arial" w:cs="Times New Roman"/>
        <w:b/>
        <w:bCs/>
      </w:rPr>
      <w:tblPr/>
      <w:tcPr>
        <w:tcBorders>
          <w:top w:val="double" w:sz="6" w:space="0" w:color="ACC705"/>
          <w:left w:val="single" w:sz="8" w:space="0" w:color="ACC705"/>
          <w:bottom w:val="single" w:sz="8" w:space="0" w:color="ACC705"/>
          <w:right w:val="single" w:sz="8" w:space="0" w:color="ACC705"/>
          <w:insideH w:val="nil"/>
          <w:insideV w:val="single" w:sz="8" w:space="0" w:color="ACC705"/>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ACC705"/>
          <w:left w:val="single" w:sz="8" w:space="0" w:color="ACC705"/>
          <w:bottom w:val="single" w:sz="8" w:space="0" w:color="ACC705"/>
          <w:right w:val="single" w:sz="8" w:space="0" w:color="ACC705"/>
        </w:tcBorders>
      </w:tcPr>
    </w:tblStylePr>
    <w:tblStylePr w:type="band1Vert">
      <w:rPr>
        <w:rFonts w:cs="Times New Roman"/>
      </w:rPr>
      <w:tblPr/>
      <w:tcPr>
        <w:tcBorders>
          <w:top w:val="single" w:sz="8" w:space="0" w:color="ACC705"/>
          <w:left w:val="single" w:sz="8" w:space="0" w:color="ACC705"/>
          <w:bottom w:val="single" w:sz="8" w:space="0" w:color="ACC705"/>
          <w:right w:val="single" w:sz="8" w:space="0" w:color="ACC705"/>
        </w:tcBorders>
        <w:shd w:val="clear" w:color="auto" w:fill="F3FDB5"/>
      </w:tcPr>
    </w:tblStylePr>
    <w:tblStylePr w:type="band1Horz">
      <w:rPr>
        <w:rFonts w:cs="Times New Roman"/>
      </w:rPr>
      <w:tblPr/>
      <w:tcPr>
        <w:tcBorders>
          <w:top w:val="single" w:sz="8" w:space="0" w:color="ACC705"/>
          <w:left w:val="single" w:sz="8" w:space="0" w:color="ACC705"/>
          <w:bottom w:val="single" w:sz="8" w:space="0" w:color="ACC705"/>
          <w:right w:val="single" w:sz="8" w:space="0" w:color="ACC705"/>
          <w:insideV w:val="single" w:sz="8" w:space="0" w:color="ACC705"/>
        </w:tcBorders>
        <w:shd w:val="clear" w:color="auto" w:fill="F3FDB5"/>
      </w:tcPr>
    </w:tblStylePr>
    <w:tblStylePr w:type="band2Horz">
      <w:rPr>
        <w:rFonts w:cs="Times New Roman"/>
      </w:rPr>
      <w:tblPr/>
      <w:tcPr>
        <w:tcBorders>
          <w:top w:val="single" w:sz="8" w:space="0" w:color="ACC705"/>
          <w:left w:val="single" w:sz="8" w:space="0" w:color="ACC705"/>
          <w:bottom w:val="single" w:sz="8" w:space="0" w:color="ACC705"/>
          <w:right w:val="single" w:sz="8" w:space="0" w:color="ACC705"/>
          <w:insideV w:val="single" w:sz="8" w:space="0" w:color="ACC705"/>
        </w:tcBorders>
      </w:tcPr>
    </w:tblStylePr>
  </w:style>
  <w:style w:type="table" w:styleId="LightGrid-Accent6">
    <w:name w:val="Light Grid Accent 6"/>
    <w:basedOn w:val="TableNormal"/>
    <w:uiPriority w:val="99"/>
    <w:semiHidden/>
    <w:locked/>
    <w:rsid w:val="0070541D"/>
    <w:rPr>
      <w:sz w:val="20"/>
      <w:szCs w:val="20"/>
    </w:rPr>
    <w:tblPr>
      <w:tblStyleRowBandSize w:val="1"/>
      <w:tblStyleColBandSize w:val="1"/>
      <w:tblInd w:w="0" w:type="dxa"/>
      <w:tblBorders>
        <w:top w:val="single" w:sz="8" w:space="0" w:color="F39200"/>
        <w:left w:val="single" w:sz="8" w:space="0" w:color="F39200"/>
        <w:bottom w:val="single" w:sz="8" w:space="0" w:color="F39200"/>
        <w:right w:val="single" w:sz="8" w:space="0" w:color="F39200"/>
        <w:insideH w:val="single" w:sz="8" w:space="0" w:color="F39200"/>
        <w:insideV w:val="single" w:sz="8" w:space="0" w:color="F39200"/>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F39200"/>
          <w:left w:val="single" w:sz="8" w:space="0" w:color="F39200"/>
          <w:bottom w:val="single" w:sz="18" w:space="0" w:color="F39200"/>
          <w:right w:val="single" w:sz="8" w:space="0" w:color="F39200"/>
          <w:insideH w:val="nil"/>
          <w:insideV w:val="single" w:sz="8" w:space="0" w:color="F39200"/>
        </w:tcBorders>
      </w:tcPr>
    </w:tblStylePr>
    <w:tblStylePr w:type="lastRow">
      <w:pPr>
        <w:spacing w:before="0" w:after="0"/>
      </w:pPr>
      <w:rPr>
        <w:rFonts w:ascii="Arial" w:eastAsia="Times New Roman" w:hAnsi="Arial" w:cs="Times New Roman"/>
        <w:b/>
        <w:bCs/>
      </w:rPr>
      <w:tblPr/>
      <w:tcPr>
        <w:tcBorders>
          <w:top w:val="double" w:sz="6" w:space="0" w:color="F39200"/>
          <w:left w:val="single" w:sz="8" w:space="0" w:color="F39200"/>
          <w:bottom w:val="single" w:sz="8" w:space="0" w:color="F39200"/>
          <w:right w:val="single" w:sz="8" w:space="0" w:color="F39200"/>
          <w:insideH w:val="nil"/>
          <w:insideV w:val="single" w:sz="8" w:space="0" w:color="F392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39200"/>
          <w:left w:val="single" w:sz="8" w:space="0" w:color="F39200"/>
          <w:bottom w:val="single" w:sz="8" w:space="0" w:color="F39200"/>
          <w:right w:val="single" w:sz="8" w:space="0" w:color="F39200"/>
        </w:tcBorders>
      </w:tcPr>
    </w:tblStylePr>
    <w:tblStylePr w:type="band1Vert">
      <w:rPr>
        <w:rFonts w:cs="Times New Roman"/>
      </w:rPr>
      <w:tblPr/>
      <w:tcPr>
        <w:tcBorders>
          <w:top w:val="single" w:sz="8" w:space="0" w:color="F39200"/>
          <w:left w:val="single" w:sz="8" w:space="0" w:color="F39200"/>
          <w:bottom w:val="single" w:sz="8" w:space="0" w:color="F39200"/>
          <w:right w:val="single" w:sz="8" w:space="0" w:color="F39200"/>
        </w:tcBorders>
        <w:shd w:val="clear" w:color="auto" w:fill="FFE4BD"/>
      </w:tcPr>
    </w:tblStylePr>
    <w:tblStylePr w:type="band1Horz">
      <w:rPr>
        <w:rFonts w:cs="Times New Roman"/>
      </w:rPr>
      <w:tblPr/>
      <w:tcPr>
        <w:tcBorders>
          <w:top w:val="single" w:sz="8" w:space="0" w:color="F39200"/>
          <w:left w:val="single" w:sz="8" w:space="0" w:color="F39200"/>
          <w:bottom w:val="single" w:sz="8" w:space="0" w:color="F39200"/>
          <w:right w:val="single" w:sz="8" w:space="0" w:color="F39200"/>
          <w:insideV w:val="single" w:sz="8" w:space="0" w:color="F39200"/>
        </w:tcBorders>
        <w:shd w:val="clear" w:color="auto" w:fill="FFE4BD"/>
      </w:tcPr>
    </w:tblStylePr>
    <w:tblStylePr w:type="band2Horz">
      <w:rPr>
        <w:rFonts w:cs="Times New Roman"/>
      </w:rPr>
      <w:tblPr/>
      <w:tcPr>
        <w:tcBorders>
          <w:top w:val="single" w:sz="8" w:space="0" w:color="F39200"/>
          <w:left w:val="single" w:sz="8" w:space="0" w:color="F39200"/>
          <w:bottom w:val="single" w:sz="8" w:space="0" w:color="F39200"/>
          <w:right w:val="single" w:sz="8" w:space="0" w:color="F39200"/>
          <w:insideV w:val="single" w:sz="8" w:space="0" w:color="F39200"/>
        </w:tcBorders>
      </w:tcPr>
    </w:tblStylePr>
  </w:style>
  <w:style w:type="table" w:customStyle="1" w:styleId="FarbigeListe1">
    <w:name w:val="Farbige Liste1"/>
    <w:uiPriority w:val="99"/>
    <w:semiHidden/>
    <w:rsid w:val="0070541D"/>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semiHidden/>
    <w:rsid w:val="0070541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DEDFF8"/>
    </w:tcPr>
    <w:tblStylePr w:type="firstRow">
      <w:rPr>
        <w:rFonts w:cs="Times New Roman"/>
        <w:b/>
        <w:bCs/>
        <w:color w:val="FFFFFF"/>
      </w:rPr>
      <w:tblPr/>
      <w:tcPr>
        <w:tcBorders>
          <w:bottom w:val="single" w:sz="12" w:space="0" w:color="FFFFFF"/>
        </w:tcBorders>
        <w:shd w:val="clear" w:color="auto" w:fill="1070A4"/>
      </w:tcPr>
    </w:tblStylePr>
    <w:tblStylePr w:type="lastRow">
      <w:rPr>
        <w:rFonts w:cs="Times New Roman"/>
        <w:b/>
        <w:bCs/>
        <w:color w:val="1070A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ABB0ED"/>
      </w:tcPr>
    </w:tblStylePr>
    <w:tblStylePr w:type="band1Horz">
      <w:rPr>
        <w:rFonts w:cs="Times New Roman"/>
      </w:rPr>
      <w:tblPr/>
      <w:tcPr>
        <w:shd w:val="clear" w:color="auto" w:fill="BBBFF0"/>
      </w:tcPr>
    </w:tblStylePr>
  </w:style>
  <w:style w:type="table" w:styleId="ColorfulList-Accent2">
    <w:name w:val="Colorful List Accent 2"/>
    <w:basedOn w:val="TableNormal"/>
    <w:uiPriority w:val="99"/>
    <w:semiHidden/>
    <w:rsid w:val="0070541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5F4FC"/>
    </w:tcPr>
    <w:tblStylePr w:type="firstRow">
      <w:rPr>
        <w:rFonts w:cs="Times New Roman"/>
        <w:b/>
        <w:bCs/>
        <w:color w:val="FFFFFF"/>
      </w:rPr>
      <w:tblPr/>
      <w:tcPr>
        <w:tcBorders>
          <w:bottom w:val="single" w:sz="12" w:space="0" w:color="FFFFFF"/>
        </w:tcBorders>
        <w:shd w:val="clear" w:color="auto" w:fill="1070A4"/>
      </w:tcPr>
    </w:tblStylePr>
    <w:tblStylePr w:type="lastRow">
      <w:rPr>
        <w:rFonts w:cs="Times New Roman"/>
        <w:b/>
        <w:bCs/>
        <w:color w:val="1070A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BEE4F8"/>
      </w:tcPr>
    </w:tblStylePr>
    <w:tblStylePr w:type="band1Horz">
      <w:rPr>
        <w:rFonts w:cs="Times New Roman"/>
      </w:rPr>
      <w:tblPr/>
      <w:tcPr>
        <w:shd w:val="clear" w:color="auto" w:fill="CBE9FA"/>
      </w:tcPr>
    </w:tblStylePr>
  </w:style>
  <w:style w:type="table" w:styleId="ColorfulList-Accent3">
    <w:name w:val="Colorful List Accent 3"/>
    <w:basedOn w:val="TableNormal"/>
    <w:uiPriority w:val="99"/>
    <w:semiHidden/>
    <w:rsid w:val="0070541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4F8FC"/>
    </w:tcPr>
    <w:tblStylePr w:type="firstRow">
      <w:rPr>
        <w:rFonts w:cs="Times New Roman"/>
        <w:b/>
        <w:bCs/>
        <w:color w:val="FFFFFF"/>
      </w:rPr>
      <w:tblPr/>
      <w:tcPr>
        <w:tcBorders>
          <w:bottom w:val="single" w:sz="12" w:space="0" w:color="FFFFFF"/>
        </w:tcBorders>
        <w:shd w:val="clear" w:color="auto" w:fill="609016"/>
      </w:tcPr>
    </w:tblStylePr>
    <w:tblStylePr w:type="lastRow">
      <w:rPr>
        <w:rFonts w:cs="Times New Roman"/>
        <w:b/>
        <w:bCs/>
        <w:color w:val="60901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4EDF8"/>
      </w:tcPr>
    </w:tblStylePr>
    <w:tblStylePr w:type="band1Horz">
      <w:rPr>
        <w:rFonts w:cs="Times New Roman"/>
      </w:rPr>
      <w:tblPr/>
      <w:tcPr>
        <w:shd w:val="clear" w:color="auto" w:fill="E9F1F9"/>
      </w:tcPr>
    </w:tblStylePr>
  </w:style>
  <w:style w:type="table" w:styleId="ColorfulList-Accent4">
    <w:name w:val="Colorful List Accent 4"/>
    <w:basedOn w:val="TableNormal"/>
    <w:uiPriority w:val="99"/>
    <w:semiHidden/>
    <w:rsid w:val="0070541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FBE5"/>
    </w:tcPr>
    <w:tblStylePr w:type="firstRow">
      <w:rPr>
        <w:rFonts w:cs="Times New Roman"/>
        <w:b/>
        <w:bCs/>
        <w:color w:val="FFFFFF"/>
      </w:rPr>
      <w:tblPr/>
      <w:tcPr>
        <w:tcBorders>
          <w:bottom w:val="single" w:sz="12" w:space="0" w:color="FFFFFF"/>
        </w:tcBorders>
        <w:shd w:val="clear" w:color="auto" w:fill="5893D3"/>
      </w:tcPr>
    </w:tblStylePr>
    <w:tblStylePr w:type="lastRow">
      <w:rPr>
        <w:rFonts w:cs="Times New Roman"/>
        <w:b/>
        <w:bCs/>
        <w:color w:val="5893D3"/>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F5BE"/>
      </w:tcPr>
    </w:tblStylePr>
    <w:tblStylePr w:type="band1Horz">
      <w:rPr>
        <w:rFonts w:cs="Times New Roman"/>
      </w:rPr>
      <w:tblPr/>
      <w:tcPr>
        <w:shd w:val="clear" w:color="auto" w:fill="E5F7CA"/>
      </w:tcPr>
    </w:tblStylePr>
  </w:style>
  <w:style w:type="table" w:styleId="ColorfulList-Accent5">
    <w:name w:val="Colorful List Accent 5"/>
    <w:basedOn w:val="TableNormal"/>
    <w:uiPriority w:val="99"/>
    <w:semiHidden/>
    <w:rsid w:val="0070541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AFEE1"/>
    </w:tcPr>
    <w:tblStylePr w:type="firstRow">
      <w:rPr>
        <w:rFonts w:cs="Times New Roman"/>
        <w:b/>
        <w:bCs/>
        <w:color w:val="FFFFFF"/>
      </w:rPr>
      <w:tblPr/>
      <w:tcPr>
        <w:tcBorders>
          <w:bottom w:val="single" w:sz="12" w:space="0" w:color="FFFFFF"/>
        </w:tcBorders>
        <w:shd w:val="clear" w:color="auto" w:fill="C27400"/>
      </w:tcPr>
    </w:tblStylePr>
    <w:tblStylePr w:type="lastRow">
      <w:rPr>
        <w:rFonts w:cs="Times New Roman"/>
        <w:b/>
        <w:bCs/>
        <w:color w:val="C274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3FDB5"/>
      </w:tcPr>
    </w:tblStylePr>
    <w:tblStylePr w:type="band1Horz">
      <w:rPr>
        <w:rFonts w:cs="Times New Roman"/>
      </w:rPr>
      <w:tblPr/>
      <w:tcPr>
        <w:shd w:val="clear" w:color="auto" w:fill="F5FDC3"/>
      </w:tcPr>
    </w:tblStylePr>
  </w:style>
  <w:style w:type="table" w:styleId="ColorfulList-Accent6">
    <w:name w:val="Colorful List Accent 6"/>
    <w:basedOn w:val="TableNormal"/>
    <w:uiPriority w:val="99"/>
    <w:semiHidden/>
    <w:rsid w:val="0070541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4E4"/>
    </w:tcPr>
    <w:tblStylePr w:type="firstRow">
      <w:rPr>
        <w:rFonts w:cs="Times New Roman"/>
        <w:b/>
        <w:bCs/>
        <w:color w:val="FFFFFF"/>
      </w:rPr>
      <w:tblPr/>
      <w:tcPr>
        <w:tcBorders>
          <w:bottom w:val="single" w:sz="12" w:space="0" w:color="FFFFFF"/>
        </w:tcBorders>
        <w:shd w:val="clear" w:color="auto" w:fill="899F04"/>
      </w:tcPr>
    </w:tblStylePr>
    <w:tblStylePr w:type="lastRow">
      <w:rPr>
        <w:rFonts w:cs="Times New Roman"/>
        <w:b/>
        <w:bCs/>
        <w:color w:val="899F0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4BD"/>
      </w:tcPr>
    </w:tblStylePr>
    <w:tblStylePr w:type="band1Horz">
      <w:rPr>
        <w:rFonts w:cs="Times New Roman"/>
      </w:rPr>
      <w:tblPr/>
      <w:tcPr>
        <w:shd w:val="clear" w:color="auto" w:fill="FFE9C9"/>
      </w:tcPr>
    </w:tblStylePr>
  </w:style>
  <w:style w:type="table" w:customStyle="1" w:styleId="FarbigeSchattierung1">
    <w:name w:val="Farbige Schattierung1"/>
    <w:uiPriority w:val="99"/>
    <w:semiHidden/>
    <w:rsid w:val="0070541D"/>
    <w:rPr>
      <w:color w:val="000000"/>
      <w:sz w:val="20"/>
      <w:szCs w:val="20"/>
      <w:lang w:val="sr-Latn-CS" w:eastAsia="sr-Latn-CS"/>
    </w:rPr>
    <w:tblPr>
      <w:tblStyleRowBandSize w:val="1"/>
      <w:tblStyleColBandSize w:val="1"/>
      <w:tblInd w:w="0" w:type="dxa"/>
      <w:tblBorders>
        <w:top w:val="single" w:sz="24" w:space="0" w:color="148DC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semiHidden/>
    <w:rsid w:val="0070541D"/>
    <w:rPr>
      <w:color w:val="000000"/>
      <w:sz w:val="20"/>
      <w:szCs w:val="20"/>
    </w:rPr>
    <w:tblPr>
      <w:tblStyleRowBandSize w:val="1"/>
      <w:tblStyleColBandSize w:val="1"/>
      <w:tblInd w:w="0" w:type="dxa"/>
      <w:tblBorders>
        <w:top w:val="single" w:sz="24" w:space="0" w:color="148DCD"/>
        <w:left w:val="single" w:sz="4" w:space="0" w:color="121754"/>
        <w:bottom w:val="single" w:sz="4" w:space="0" w:color="121754"/>
        <w:right w:val="single" w:sz="4" w:space="0" w:color="121754"/>
        <w:insideH w:val="single" w:sz="4" w:space="0" w:color="FFFFFF"/>
        <w:insideV w:val="single" w:sz="4" w:space="0" w:color="FFFFFF"/>
      </w:tblBorders>
      <w:tblCellMar>
        <w:top w:w="0" w:type="dxa"/>
        <w:left w:w="108" w:type="dxa"/>
        <w:bottom w:w="0" w:type="dxa"/>
        <w:right w:w="108" w:type="dxa"/>
      </w:tblCellMar>
    </w:tblPr>
    <w:tcPr>
      <w:shd w:val="clear" w:color="auto" w:fill="DEDFF8"/>
    </w:tcPr>
    <w:tblStylePr w:type="firstRow">
      <w:rPr>
        <w:rFonts w:cs="Times New Roman"/>
        <w:b/>
        <w:bCs/>
      </w:rPr>
      <w:tblPr/>
      <w:tcPr>
        <w:tcBorders>
          <w:top w:val="nil"/>
          <w:left w:val="nil"/>
          <w:bottom w:val="single" w:sz="24" w:space="0" w:color="148DC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A0D32"/>
      </w:tcPr>
    </w:tblStylePr>
    <w:tblStylePr w:type="firstCol">
      <w:rPr>
        <w:rFonts w:cs="Times New Roman"/>
        <w:color w:val="FFFFFF"/>
      </w:rPr>
      <w:tblPr/>
      <w:tcPr>
        <w:tcBorders>
          <w:top w:val="nil"/>
          <w:left w:val="nil"/>
          <w:bottom w:val="nil"/>
          <w:right w:val="nil"/>
          <w:insideH w:val="single" w:sz="4" w:space="0" w:color="0A0D32"/>
          <w:insideV w:val="nil"/>
        </w:tcBorders>
        <w:shd w:val="clear" w:color="auto" w:fill="0A0D32"/>
      </w:tcPr>
    </w:tblStylePr>
    <w:tblStylePr w:type="lastCol">
      <w:rPr>
        <w:rFonts w:cs="Times New Roman"/>
        <w:color w:val="FFFFFF"/>
      </w:rPr>
      <w:tblPr/>
      <w:tcPr>
        <w:tcBorders>
          <w:top w:val="nil"/>
          <w:left w:val="nil"/>
          <w:bottom w:val="nil"/>
          <w:right w:val="nil"/>
          <w:insideH w:val="nil"/>
          <w:insideV w:val="nil"/>
        </w:tcBorders>
        <w:shd w:val="clear" w:color="auto" w:fill="0A0D32"/>
      </w:tcPr>
    </w:tblStylePr>
    <w:tblStylePr w:type="band1Vert">
      <w:rPr>
        <w:rFonts w:cs="Times New Roman"/>
      </w:rPr>
      <w:tblPr/>
      <w:tcPr>
        <w:shd w:val="clear" w:color="auto" w:fill="7880E2"/>
      </w:tcPr>
    </w:tblStylePr>
    <w:tblStylePr w:type="band1Horz">
      <w:rPr>
        <w:rFonts w:cs="Times New Roman"/>
      </w:rPr>
      <w:tblPr/>
      <w:tcPr>
        <w:shd w:val="clear" w:color="auto" w:fill="5761DB"/>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semiHidden/>
    <w:rsid w:val="0070541D"/>
    <w:rPr>
      <w:color w:val="000000"/>
      <w:sz w:val="20"/>
      <w:szCs w:val="20"/>
    </w:rPr>
    <w:tblPr>
      <w:tblStyleRowBandSize w:val="1"/>
      <w:tblStyleColBandSize w:val="1"/>
      <w:tblInd w:w="0" w:type="dxa"/>
      <w:tblBorders>
        <w:top w:val="single" w:sz="24" w:space="0" w:color="148DCD"/>
        <w:left w:val="single" w:sz="4" w:space="0" w:color="148DCD"/>
        <w:bottom w:val="single" w:sz="4" w:space="0" w:color="148DCD"/>
        <w:right w:val="single" w:sz="4" w:space="0" w:color="148DCD"/>
        <w:insideH w:val="single" w:sz="4" w:space="0" w:color="FFFFFF"/>
        <w:insideV w:val="single" w:sz="4" w:space="0" w:color="FFFFFF"/>
      </w:tblBorders>
      <w:tblCellMar>
        <w:top w:w="0" w:type="dxa"/>
        <w:left w:w="108" w:type="dxa"/>
        <w:bottom w:w="0" w:type="dxa"/>
        <w:right w:w="108" w:type="dxa"/>
      </w:tblCellMar>
    </w:tblPr>
    <w:tcPr>
      <w:shd w:val="clear" w:color="auto" w:fill="E5F4FC"/>
    </w:tcPr>
    <w:tblStylePr w:type="firstRow">
      <w:rPr>
        <w:rFonts w:cs="Times New Roman"/>
        <w:b/>
        <w:bCs/>
      </w:rPr>
      <w:tblPr/>
      <w:tcPr>
        <w:tcBorders>
          <w:top w:val="nil"/>
          <w:left w:val="nil"/>
          <w:bottom w:val="single" w:sz="24" w:space="0" w:color="148DC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C547B"/>
      </w:tcPr>
    </w:tblStylePr>
    <w:tblStylePr w:type="firstCol">
      <w:rPr>
        <w:rFonts w:cs="Times New Roman"/>
        <w:color w:val="FFFFFF"/>
      </w:rPr>
      <w:tblPr/>
      <w:tcPr>
        <w:tcBorders>
          <w:top w:val="nil"/>
          <w:left w:val="nil"/>
          <w:bottom w:val="nil"/>
          <w:right w:val="nil"/>
          <w:insideH w:val="single" w:sz="4" w:space="0" w:color="0C547B"/>
          <w:insideV w:val="nil"/>
        </w:tcBorders>
        <w:shd w:val="clear" w:color="auto" w:fill="0C547B"/>
      </w:tcPr>
    </w:tblStylePr>
    <w:tblStylePr w:type="lastCol">
      <w:rPr>
        <w:rFonts w:cs="Times New Roman"/>
        <w:color w:val="FFFFFF"/>
      </w:rPr>
      <w:tblPr/>
      <w:tcPr>
        <w:tcBorders>
          <w:top w:val="nil"/>
          <w:left w:val="nil"/>
          <w:bottom w:val="nil"/>
          <w:right w:val="nil"/>
          <w:insideH w:val="nil"/>
          <w:insideV w:val="nil"/>
        </w:tcBorders>
        <w:shd w:val="clear" w:color="auto" w:fill="0C547B"/>
      </w:tcPr>
    </w:tblStylePr>
    <w:tblStylePr w:type="band1Vert">
      <w:rPr>
        <w:rFonts w:cs="Times New Roman"/>
      </w:rPr>
      <w:tblPr/>
      <w:tcPr>
        <w:shd w:val="clear" w:color="auto" w:fill="97D4F5"/>
      </w:tcPr>
    </w:tblStylePr>
    <w:tblStylePr w:type="band1Horz">
      <w:rPr>
        <w:rFonts w:cs="Times New Roman"/>
      </w:rPr>
      <w:tblPr/>
      <w:tcPr>
        <w:shd w:val="clear" w:color="auto" w:fill="7DC9F2"/>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semiHidden/>
    <w:rsid w:val="0070541D"/>
    <w:rPr>
      <w:color w:val="000000"/>
      <w:sz w:val="20"/>
      <w:szCs w:val="20"/>
    </w:rPr>
    <w:tblPr>
      <w:tblStyleRowBandSize w:val="1"/>
      <w:tblStyleColBandSize w:val="1"/>
      <w:tblInd w:w="0" w:type="dxa"/>
      <w:tblBorders>
        <w:top w:val="single" w:sz="24" w:space="0" w:color="79B51C"/>
        <w:left w:val="single" w:sz="4" w:space="0" w:color="94BAE3"/>
        <w:bottom w:val="single" w:sz="4" w:space="0" w:color="94BAE3"/>
        <w:right w:val="single" w:sz="4" w:space="0" w:color="94BAE3"/>
        <w:insideH w:val="single" w:sz="4" w:space="0" w:color="FFFFFF"/>
        <w:insideV w:val="single" w:sz="4" w:space="0" w:color="FFFFFF"/>
      </w:tblBorders>
      <w:tblCellMar>
        <w:top w:w="0" w:type="dxa"/>
        <w:left w:w="108" w:type="dxa"/>
        <w:bottom w:w="0" w:type="dxa"/>
        <w:right w:w="108" w:type="dxa"/>
      </w:tblCellMar>
    </w:tblPr>
    <w:tcPr>
      <w:shd w:val="clear" w:color="auto" w:fill="F4F8FC"/>
    </w:tcPr>
    <w:tblStylePr w:type="firstRow">
      <w:rPr>
        <w:rFonts w:cs="Times New Roman"/>
        <w:b/>
        <w:bCs/>
      </w:rPr>
      <w:tblPr/>
      <w:tcPr>
        <w:tcBorders>
          <w:top w:val="nil"/>
          <w:left w:val="nil"/>
          <w:bottom w:val="single" w:sz="24" w:space="0" w:color="79B51C"/>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6DB2"/>
      </w:tcPr>
    </w:tblStylePr>
    <w:tblStylePr w:type="firstCol">
      <w:rPr>
        <w:rFonts w:cs="Times New Roman"/>
        <w:color w:val="FFFFFF"/>
      </w:rPr>
      <w:tblPr/>
      <w:tcPr>
        <w:tcBorders>
          <w:top w:val="nil"/>
          <w:left w:val="nil"/>
          <w:bottom w:val="nil"/>
          <w:right w:val="nil"/>
          <w:insideH w:val="single" w:sz="4" w:space="0" w:color="2E6DB2"/>
          <w:insideV w:val="nil"/>
        </w:tcBorders>
        <w:shd w:val="clear" w:color="auto" w:fill="2E6DB2"/>
      </w:tcPr>
    </w:tblStylePr>
    <w:tblStylePr w:type="lastCol">
      <w:rPr>
        <w:rFonts w:cs="Times New Roman"/>
        <w:color w:val="FFFFFF"/>
      </w:rPr>
      <w:tblPr/>
      <w:tcPr>
        <w:tcBorders>
          <w:top w:val="nil"/>
          <w:left w:val="nil"/>
          <w:bottom w:val="nil"/>
          <w:right w:val="nil"/>
          <w:insideH w:val="nil"/>
          <w:insideV w:val="nil"/>
        </w:tcBorders>
        <w:shd w:val="clear" w:color="auto" w:fill="2E6DB2"/>
      </w:tcPr>
    </w:tblStylePr>
    <w:tblStylePr w:type="band1Vert">
      <w:rPr>
        <w:rFonts w:cs="Times New Roman"/>
      </w:rPr>
      <w:tblPr/>
      <w:tcPr>
        <w:shd w:val="clear" w:color="auto" w:fill="D4E3F3"/>
      </w:tcPr>
    </w:tblStylePr>
    <w:tblStylePr w:type="band1Horz">
      <w:rPr>
        <w:rFonts w:cs="Times New Roman"/>
      </w:rPr>
      <w:tblPr/>
      <w:tcPr>
        <w:shd w:val="clear" w:color="auto" w:fill="C9DCF1"/>
      </w:tcPr>
    </w:tblStylePr>
  </w:style>
  <w:style w:type="table" w:styleId="ColorfulShading-Accent4">
    <w:name w:val="Colorful Shading Accent 4"/>
    <w:basedOn w:val="TableNormal"/>
    <w:uiPriority w:val="99"/>
    <w:semiHidden/>
    <w:rsid w:val="0070541D"/>
    <w:rPr>
      <w:color w:val="000000"/>
      <w:sz w:val="20"/>
      <w:szCs w:val="20"/>
    </w:rPr>
    <w:tblPr>
      <w:tblStyleRowBandSize w:val="1"/>
      <w:tblStyleColBandSize w:val="1"/>
      <w:tblInd w:w="0" w:type="dxa"/>
      <w:tblBorders>
        <w:top w:val="single" w:sz="24" w:space="0" w:color="94BAE3"/>
        <w:left w:val="single" w:sz="4" w:space="0" w:color="79B51C"/>
        <w:bottom w:val="single" w:sz="4" w:space="0" w:color="79B51C"/>
        <w:right w:val="single" w:sz="4" w:space="0" w:color="79B51C"/>
        <w:insideH w:val="single" w:sz="4" w:space="0" w:color="FFFFFF"/>
        <w:insideV w:val="single" w:sz="4" w:space="0" w:color="FFFFFF"/>
      </w:tblBorders>
      <w:tblCellMar>
        <w:top w:w="0" w:type="dxa"/>
        <w:left w:w="108" w:type="dxa"/>
        <w:bottom w:w="0" w:type="dxa"/>
        <w:right w:w="108" w:type="dxa"/>
      </w:tblCellMar>
    </w:tblPr>
    <w:tcPr>
      <w:shd w:val="clear" w:color="auto" w:fill="F2FBE5"/>
    </w:tcPr>
    <w:tblStylePr w:type="firstRow">
      <w:rPr>
        <w:rFonts w:cs="Times New Roman"/>
        <w:b/>
        <w:bCs/>
      </w:rPr>
      <w:tblPr/>
      <w:tcPr>
        <w:tcBorders>
          <w:top w:val="nil"/>
          <w:left w:val="nil"/>
          <w:bottom w:val="single" w:sz="24" w:space="0" w:color="94BAE3"/>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86C10"/>
      </w:tcPr>
    </w:tblStylePr>
    <w:tblStylePr w:type="firstCol">
      <w:rPr>
        <w:rFonts w:cs="Times New Roman"/>
        <w:color w:val="FFFFFF"/>
      </w:rPr>
      <w:tblPr/>
      <w:tcPr>
        <w:tcBorders>
          <w:top w:val="nil"/>
          <w:left w:val="nil"/>
          <w:bottom w:val="nil"/>
          <w:right w:val="nil"/>
          <w:insideH w:val="single" w:sz="4" w:space="0" w:color="486C10"/>
          <w:insideV w:val="nil"/>
        </w:tcBorders>
        <w:shd w:val="clear" w:color="auto" w:fill="486C10"/>
      </w:tcPr>
    </w:tblStylePr>
    <w:tblStylePr w:type="lastCol">
      <w:rPr>
        <w:rFonts w:cs="Times New Roman"/>
        <w:color w:val="FFFFFF"/>
      </w:rPr>
      <w:tblPr/>
      <w:tcPr>
        <w:tcBorders>
          <w:top w:val="nil"/>
          <w:left w:val="nil"/>
          <w:bottom w:val="nil"/>
          <w:right w:val="nil"/>
          <w:insideH w:val="nil"/>
          <w:insideV w:val="nil"/>
        </w:tcBorders>
        <w:shd w:val="clear" w:color="auto" w:fill="486C10"/>
      </w:tcPr>
    </w:tblStylePr>
    <w:tblStylePr w:type="band1Vert">
      <w:rPr>
        <w:rFonts w:cs="Times New Roman"/>
      </w:rPr>
      <w:tblPr/>
      <w:tcPr>
        <w:shd w:val="clear" w:color="auto" w:fill="CCEE96"/>
      </w:tcPr>
    </w:tblStylePr>
    <w:tblStylePr w:type="band1Horz">
      <w:rPr>
        <w:rFonts w:cs="Times New Roman"/>
      </w:rPr>
      <w:tblPr/>
      <w:tcPr>
        <w:shd w:val="clear" w:color="auto" w:fill="BFEB7D"/>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semiHidden/>
    <w:rsid w:val="0070541D"/>
    <w:rPr>
      <w:color w:val="000000"/>
      <w:sz w:val="20"/>
      <w:szCs w:val="20"/>
    </w:rPr>
    <w:tblPr>
      <w:tblStyleRowBandSize w:val="1"/>
      <w:tblStyleColBandSize w:val="1"/>
      <w:tblInd w:w="0" w:type="dxa"/>
      <w:tblBorders>
        <w:top w:val="single" w:sz="24" w:space="0" w:color="F39200"/>
        <w:left w:val="single" w:sz="4" w:space="0" w:color="ACC705"/>
        <w:bottom w:val="single" w:sz="4" w:space="0" w:color="ACC705"/>
        <w:right w:val="single" w:sz="4" w:space="0" w:color="ACC705"/>
        <w:insideH w:val="single" w:sz="4" w:space="0" w:color="FFFFFF"/>
        <w:insideV w:val="single" w:sz="4" w:space="0" w:color="FFFFFF"/>
      </w:tblBorders>
      <w:tblCellMar>
        <w:top w:w="0" w:type="dxa"/>
        <w:left w:w="108" w:type="dxa"/>
        <w:bottom w:w="0" w:type="dxa"/>
        <w:right w:w="108" w:type="dxa"/>
      </w:tblCellMar>
    </w:tblPr>
    <w:tcPr>
      <w:shd w:val="clear" w:color="auto" w:fill="FAFEE1"/>
    </w:tcPr>
    <w:tblStylePr w:type="firstRow">
      <w:rPr>
        <w:rFonts w:cs="Times New Roman"/>
        <w:b/>
        <w:bCs/>
      </w:rPr>
      <w:tblPr/>
      <w:tcPr>
        <w:tcBorders>
          <w:top w:val="nil"/>
          <w:left w:val="nil"/>
          <w:bottom w:val="single" w:sz="24" w:space="0" w:color="F392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67703"/>
      </w:tcPr>
    </w:tblStylePr>
    <w:tblStylePr w:type="firstCol">
      <w:rPr>
        <w:rFonts w:cs="Times New Roman"/>
        <w:color w:val="FFFFFF"/>
      </w:rPr>
      <w:tblPr/>
      <w:tcPr>
        <w:tcBorders>
          <w:top w:val="nil"/>
          <w:left w:val="nil"/>
          <w:bottom w:val="nil"/>
          <w:right w:val="nil"/>
          <w:insideH w:val="single" w:sz="4" w:space="0" w:color="667703"/>
          <w:insideV w:val="nil"/>
        </w:tcBorders>
        <w:shd w:val="clear" w:color="auto" w:fill="667703"/>
      </w:tcPr>
    </w:tblStylePr>
    <w:tblStylePr w:type="lastCol">
      <w:rPr>
        <w:rFonts w:cs="Times New Roman"/>
        <w:color w:val="FFFFFF"/>
      </w:rPr>
      <w:tblPr/>
      <w:tcPr>
        <w:tcBorders>
          <w:top w:val="nil"/>
          <w:left w:val="nil"/>
          <w:bottom w:val="nil"/>
          <w:right w:val="nil"/>
          <w:insideH w:val="nil"/>
          <w:insideV w:val="nil"/>
        </w:tcBorders>
        <w:shd w:val="clear" w:color="auto" w:fill="667703"/>
      </w:tcPr>
    </w:tblStylePr>
    <w:tblStylePr w:type="band1Vert">
      <w:rPr>
        <w:rFonts w:cs="Times New Roman"/>
      </w:rPr>
      <w:tblPr/>
      <w:tcPr>
        <w:shd w:val="clear" w:color="auto" w:fill="EBFC87"/>
      </w:tcPr>
    </w:tblStylePr>
    <w:tblStylePr w:type="band1Horz">
      <w:rPr>
        <w:rFonts w:cs="Times New Roman"/>
      </w:rPr>
      <w:tblPr/>
      <w:tcPr>
        <w:shd w:val="clear" w:color="auto" w:fill="E6FB6A"/>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semiHidden/>
    <w:rsid w:val="0070541D"/>
    <w:rPr>
      <w:color w:val="000000"/>
      <w:sz w:val="20"/>
      <w:szCs w:val="20"/>
    </w:rPr>
    <w:tblPr>
      <w:tblStyleRowBandSize w:val="1"/>
      <w:tblStyleColBandSize w:val="1"/>
      <w:tblInd w:w="0" w:type="dxa"/>
      <w:tblBorders>
        <w:top w:val="single" w:sz="24" w:space="0" w:color="ACC705"/>
        <w:left w:val="single" w:sz="4" w:space="0" w:color="F39200"/>
        <w:bottom w:val="single" w:sz="4" w:space="0" w:color="F39200"/>
        <w:right w:val="single" w:sz="4" w:space="0" w:color="F39200"/>
        <w:insideH w:val="single" w:sz="4" w:space="0" w:color="FFFFFF"/>
        <w:insideV w:val="single" w:sz="4" w:space="0" w:color="FFFFFF"/>
      </w:tblBorders>
      <w:tblCellMar>
        <w:top w:w="0" w:type="dxa"/>
        <w:left w:w="108" w:type="dxa"/>
        <w:bottom w:w="0" w:type="dxa"/>
        <w:right w:w="108" w:type="dxa"/>
      </w:tblCellMar>
    </w:tblPr>
    <w:tcPr>
      <w:shd w:val="clear" w:color="auto" w:fill="FFF4E4"/>
    </w:tcPr>
    <w:tblStylePr w:type="firstRow">
      <w:rPr>
        <w:rFonts w:cs="Times New Roman"/>
        <w:b/>
        <w:bCs/>
      </w:rPr>
      <w:tblPr/>
      <w:tcPr>
        <w:tcBorders>
          <w:top w:val="nil"/>
          <w:left w:val="nil"/>
          <w:bottom w:val="single" w:sz="24" w:space="0" w:color="ACC70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15700"/>
      </w:tcPr>
    </w:tblStylePr>
    <w:tblStylePr w:type="firstCol">
      <w:rPr>
        <w:rFonts w:cs="Times New Roman"/>
        <w:color w:val="FFFFFF"/>
      </w:rPr>
      <w:tblPr/>
      <w:tcPr>
        <w:tcBorders>
          <w:top w:val="nil"/>
          <w:left w:val="nil"/>
          <w:bottom w:val="nil"/>
          <w:right w:val="nil"/>
          <w:insideH w:val="single" w:sz="4" w:space="0" w:color="915700"/>
          <w:insideV w:val="nil"/>
        </w:tcBorders>
        <w:shd w:val="clear" w:color="auto" w:fill="915700"/>
      </w:tcPr>
    </w:tblStylePr>
    <w:tblStylePr w:type="lastCol">
      <w:rPr>
        <w:rFonts w:cs="Times New Roman"/>
        <w:color w:val="FFFFFF"/>
      </w:rPr>
      <w:tblPr/>
      <w:tcPr>
        <w:tcBorders>
          <w:top w:val="nil"/>
          <w:left w:val="nil"/>
          <w:bottom w:val="nil"/>
          <w:right w:val="nil"/>
          <w:insideH w:val="nil"/>
          <w:insideV w:val="nil"/>
        </w:tcBorders>
        <w:shd w:val="clear" w:color="auto" w:fill="915700"/>
      </w:tcPr>
    </w:tblStylePr>
    <w:tblStylePr w:type="band1Vert">
      <w:rPr>
        <w:rFonts w:cs="Times New Roman"/>
      </w:rPr>
      <w:tblPr/>
      <w:tcPr>
        <w:shd w:val="clear" w:color="auto" w:fill="FFD494"/>
      </w:tcPr>
    </w:tblStylePr>
    <w:tblStylePr w:type="band1Horz">
      <w:rPr>
        <w:rFonts w:cs="Times New Roman"/>
      </w:rPr>
      <w:tblPr/>
      <w:tcPr>
        <w:shd w:val="clear" w:color="auto" w:fill="FFC97A"/>
      </w:tcPr>
    </w:tblStylePr>
    <w:tblStylePr w:type="neCell">
      <w:rPr>
        <w:rFonts w:cs="Times New Roman"/>
        <w:color w:val="000000"/>
      </w:rPr>
    </w:tblStylePr>
    <w:tblStylePr w:type="nwCell">
      <w:rPr>
        <w:rFonts w:cs="Times New Roman"/>
        <w:color w:val="000000"/>
      </w:rPr>
    </w:tblStylePr>
  </w:style>
  <w:style w:type="table" w:customStyle="1" w:styleId="FarbigesRaster1">
    <w:name w:val="Farbiges Raster1"/>
    <w:uiPriority w:val="99"/>
    <w:semiHidden/>
    <w:rsid w:val="0070541D"/>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semiHidden/>
    <w:rsid w:val="0070541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BBFF0"/>
    </w:tcPr>
    <w:tblStylePr w:type="firstRow">
      <w:rPr>
        <w:rFonts w:cs="Times New Roman"/>
        <w:b/>
        <w:bCs/>
      </w:rPr>
      <w:tblPr/>
      <w:tcPr>
        <w:shd w:val="clear" w:color="auto" w:fill="7880E2"/>
      </w:tcPr>
    </w:tblStylePr>
    <w:tblStylePr w:type="lastRow">
      <w:rPr>
        <w:rFonts w:cs="Times New Roman"/>
        <w:b/>
        <w:bCs/>
        <w:color w:val="000000"/>
      </w:rPr>
      <w:tblPr/>
      <w:tcPr>
        <w:shd w:val="clear" w:color="auto" w:fill="7880E2"/>
      </w:tcPr>
    </w:tblStylePr>
    <w:tblStylePr w:type="firstCol">
      <w:rPr>
        <w:rFonts w:cs="Times New Roman"/>
        <w:color w:val="FFFFFF"/>
      </w:rPr>
      <w:tblPr/>
      <w:tcPr>
        <w:shd w:val="clear" w:color="auto" w:fill="0D113E"/>
      </w:tcPr>
    </w:tblStylePr>
    <w:tblStylePr w:type="lastCol">
      <w:rPr>
        <w:rFonts w:cs="Times New Roman"/>
        <w:color w:val="FFFFFF"/>
      </w:rPr>
      <w:tblPr/>
      <w:tcPr>
        <w:shd w:val="clear" w:color="auto" w:fill="0D113E"/>
      </w:tcPr>
    </w:tblStylePr>
    <w:tblStylePr w:type="band1Vert">
      <w:rPr>
        <w:rFonts w:cs="Times New Roman"/>
      </w:rPr>
      <w:tblPr/>
      <w:tcPr>
        <w:shd w:val="clear" w:color="auto" w:fill="5761DB"/>
      </w:tcPr>
    </w:tblStylePr>
    <w:tblStylePr w:type="band1Horz">
      <w:rPr>
        <w:rFonts w:cs="Times New Roman"/>
      </w:rPr>
      <w:tblPr/>
      <w:tcPr>
        <w:shd w:val="clear" w:color="auto" w:fill="5761DB"/>
      </w:tcPr>
    </w:tblStylePr>
  </w:style>
  <w:style w:type="table" w:styleId="ColorfulGrid-Accent2">
    <w:name w:val="Colorful Grid Accent 2"/>
    <w:basedOn w:val="TableNormal"/>
    <w:uiPriority w:val="99"/>
    <w:semiHidden/>
    <w:rsid w:val="0070541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BE9FA"/>
    </w:tcPr>
    <w:tblStylePr w:type="firstRow">
      <w:rPr>
        <w:rFonts w:cs="Times New Roman"/>
        <w:b/>
        <w:bCs/>
      </w:rPr>
      <w:tblPr/>
      <w:tcPr>
        <w:shd w:val="clear" w:color="auto" w:fill="97D4F5"/>
      </w:tcPr>
    </w:tblStylePr>
    <w:tblStylePr w:type="lastRow">
      <w:rPr>
        <w:rFonts w:cs="Times New Roman"/>
        <w:b/>
        <w:bCs/>
        <w:color w:val="000000"/>
      </w:rPr>
      <w:tblPr/>
      <w:tcPr>
        <w:shd w:val="clear" w:color="auto" w:fill="97D4F5"/>
      </w:tcPr>
    </w:tblStylePr>
    <w:tblStylePr w:type="firstCol">
      <w:rPr>
        <w:rFonts w:cs="Times New Roman"/>
        <w:color w:val="FFFFFF"/>
      </w:rPr>
      <w:tblPr/>
      <w:tcPr>
        <w:shd w:val="clear" w:color="auto" w:fill="0F6999"/>
      </w:tcPr>
    </w:tblStylePr>
    <w:tblStylePr w:type="lastCol">
      <w:rPr>
        <w:rFonts w:cs="Times New Roman"/>
        <w:color w:val="FFFFFF"/>
      </w:rPr>
      <w:tblPr/>
      <w:tcPr>
        <w:shd w:val="clear" w:color="auto" w:fill="0F6999"/>
      </w:tcPr>
    </w:tblStylePr>
    <w:tblStylePr w:type="band1Vert">
      <w:rPr>
        <w:rFonts w:cs="Times New Roman"/>
      </w:rPr>
      <w:tblPr/>
      <w:tcPr>
        <w:shd w:val="clear" w:color="auto" w:fill="7DC9F2"/>
      </w:tcPr>
    </w:tblStylePr>
    <w:tblStylePr w:type="band1Horz">
      <w:rPr>
        <w:rFonts w:cs="Times New Roman"/>
      </w:rPr>
      <w:tblPr/>
      <w:tcPr>
        <w:shd w:val="clear" w:color="auto" w:fill="7DC9F2"/>
      </w:tcPr>
    </w:tblStylePr>
  </w:style>
  <w:style w:type="table" w:styleId="ColorfulGrid-Accent3">
    <w:name w:val="Colorful Grid Accent 3"/>
    <w:basedOn w:val="TableNormal"/>
    <w:uiPriority w:val="99"/>
    <w:semiHidden/>
    <w:rsid w:val="0070541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9F1F9"/>
    </w:tcPr>
    <w:tblStylePr w:type="firstRow">
      <w:rPr>
        <w:rFonts w:cs="Times New Roman"/>
        <w:b/>
        <w:bCs/>
      </w:rPr>
      <w:tblPr/>
      <w:tcPr>
        <w:shd w:val="clear" w:color="auto" w:fill="D4E3F3"/>
      </w:tcPr>
    </w:tblStylePr>
    <w:tblStylePr w:type="lastRow">
      <w:rPr>
        <w:rFonts w:cs="Times New Roman"/>
        <w:b/>
        <w:bCs/>
        <w:color w:val="000000"/>
      </w:rPr>
      <w:tblPr/>
      <w:tcPr>
        <w:shd w:val="clear" w:color="auto" w:fill="D4E3F3"/>
      </w:tcPr>
    </w:tblStylePr>
    <w:tblStylePr w:type="firstCol">
      <w:rPr>
        <w:rFonts w:cs="Times New Roman"/>
        <w:color w:val="FFFFFF"/>
      </w:rPr>
      <w:tblPr/>
      <w:tcPr>
        <w:shd w:val="clear" w:color="auto" w:fill="4989CF"/>
      </w:tcPr>
    </w:tblStylePr>
    <w:tblStylePr w:type="lastCol">
      <w:rPr>
        <w:rFonts w:cs="Times New Roman"/>
        <w:color w:val="FFFFFF"/>
      </w:rPr>
      <w:tblPr/>
      <w:tcPr>
        <w:shd w:val="clear" w:color="auto" w:fill="4989CF"/>
      </w:tcPr>
    </w:tblStylePr>
    <w:tblStylePr w:type="band1Vert">
      <w:rPr>
        <w:rFonts w:cs="Times New Roman"/>
      </w:rPr>
      <w:tblPr/>
      <w:tcPr>
        <w:shd w:val="clear" w:color="auto" w:fill="C9DCF1"/>
      </w:tcPr>
    </w:tblStylePr>
    <w:tblStylePr w:type="band1Horz">
      <w:rPr>
        <w:rFonts w:cs="Times New Roman"/>
      </w:rPr>
      <w:tblPr/>
      <w:tcPr>
        <w:shd w:val="clear" w:color="auto" w:fill="C9DCF1"/>
      </w:tcPr>
    </w:tblStylePr>
  </w:style>
  <w:style w:type="table" w:styleId="ColorfulGrid-Accent4">
    <w:name w:val="Colorful Grid Accent 4"/>
    <w:basedOn w:val="TableNormal"/>
    <w:uiPriority w:val="99"/>
    <w:semiHidden/>
    <w:rsid w:val="0070541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7CA"/>
    </w:tcPr>
    <w:tblStylePr w:type="firstRow">
      <w:rPr>
        <w:rFonts w:cs="Times New Roman"/>
        <w:b/>
        <w:bCs/>
      </w:rPr>
      <w:tblPr/>
      <w:tcPr>
        <w:shd w:val="clear" w:color="auto" w:fill="CCEE96"/>
      </w:tcPr>
    </w:tblStylePr>
    <w:tblStylePr w:type="lastRow">
      <w:rPr>
        <w:rFonts w:cs="Times New Roman"/>
        <w:b/>
        <w:bCs/>
        <w:color w:val="000000"/>
      </w:rPr>
      <w:tblPr/>
      <w:tcPr>
        <w:shd w:val="clear" w:color="auto" w:fill="CCEE96"/>
      </w:tcPr>
    </w:tblStylePr>
    <w:tblStylePr w:type="firstCol">
      <w:rPr>
        <w:rFonts w:cs="Times New Roman"/>
        <w:color w:val="FFFFFF"/>
      </w:rPr>
      <w:tblPr/>
      <w:tcPr>
        <w:shd w:val="clear" w:color="auto" w:fill="5A8715"/>
      </w:tcPr>
    </w:tblStylePr>
    <w:tblStylePr w:type="lastCol">
      <w:rPr>
        <w:rFonts w:cs="Times New Roman"/>
        <w:color w:val="FFFFFF"/>
      </w:rPr>
      <w:tblPr/>
      <w:tcPr>
        <w:shd w:val="clear" w:color="auto" w:fill="5A8715"/>
      </w:tcPr>
    </w:tblStylePr>
    <w:tblStylePr w:type="band1Vert">
      <w:rPr>
        <w:rFonts w:cs="Times New Roman"/>
      </w:rPr>
      <w:tblPr/>
      <w:tcPr>
        <w:shd w:val="clear" w:color="auto" w:fill="BFEB7D"/>
      </w:tcPr>
    </w:tblStylePr>
    <w:tblStylePr w:type="band1Horz">
      <w:rPr>
        <w:rFonts w:cs="Times New Roman"/>
      </w:rPr>
      <w:tblPr/>
      <w:tcPr>
        <w:shd w:val="clear" w:color="auto" w:fill="BFEB7D"/>
      </w:tcPr>
    </w:tblStylePr>
  </w:style>
  <w:style w:type="table" w:styleId="ColorfulGrid-Accent5">
    <w:name w:val="Colorful Grid Accent 5"/>
    <w:basedOn w:val="TableNormal"/>
    <w:uiPriority w:val="99"/>
    <w:semiHidden/>
    <w:rsid w:val="0070541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5FDC3"/>
    </w:tcPr>
    <w:tblStylePr w:type="firstRow">
      <w:rPr>
        <w:rFonts w:cs="Times New Roman"/>
        <w:b/>
        <w:bCs/>
      </w:rPr>
      <w:tblPr/>
      <w:tcPr>
        <w:shd w:val="clear" w:color="auto" w:fill="EBFC87"/>
      </w:tcPr>
    </w:tblStylePr>
    <w:tblStylePr w:type="lastRow">
      <w:rPr>
        <w:rFonts w:cs="Times New Roman"/>
        <w:b/>
        <w:bCs/>
        <w:color w:val="000000"/>
      </w:rPr>
      <w:tblPr/>
      <w:tcPr>
        <w:shd w:val="clear" w:color="auto" w:fill="EBFC87"/>
      </w:tcPr>
    </w:tblStylePr>
    <w:tblStylePr w:type="firstCol">
      <w:rPr>
        <w:rFonts w:cs="Times New Roman"/>
        <w:color w:val="FFFFFF"/>
      </w:rPr>
      <w:tblPr/>
      <w:tcPr>
        <w:shd w:val="clear" w:color="auto" w:fill="809403"/>
      </w:tcPr>
    </w:tblStylePr>
    <w:tblStylePr w:type="lastCol">
      <w:rPr>
        <w:rFonts w:cs="Times New Roman"/>
        <w:color w:val="FFFFFF"/>
      </w:rPr>
      <w:tblPr/>
      <w:tcPr>
        <w:shd w:val="clear" w:color="auto" w:fill="809403"/>
      </w:tcPr>
    </w:tblStylePr>
    <w:tblStylePr w:type="band1Vert">
      <w:rPr>
        <w:rFonts w:cs="Times New Roman"/>
      </w:rPr>
      <w:tblPr/>
      <w:tcPr>
        <w:shd w:val="clear" w:color="auto" w:fill="E6FB6A"/>
      </w:tcPr>
    </w:tblStylePr>
    <w:tblStylePr w:type="band1Horz">
      <w:rPr>
        <w:rFonts w:cs="Times New Roman"/>
      </w:rPr>
      <w:tblPr/>
      <w:tcPr>
        <w:shd w:val="clear" w:color="auto" w:fill="E6FB6A"/>
      </w:tcPr>
    </w:tblStylePr>
  </w:style>
  <w:style w:type="table" w:styleId="ColorfulGrid-Accent6">
    <w:name w:val="Colorful Grid Accent 6"/>
    <w:basedOn w:val="TableNormal"/>
    <w:uiPriority w:val="99"/>
    <w:semiHidden/>
    <w:rsid w:val="0070541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E9C9"/>
    </w:tcPr>
    <w:tblStylePr w:type="firstRow">
      <w:rPr>
        <w:rFonts w:cs="Times New Roman"/>
        <w:b/>
        <w:bCs/>
      </w:rPr>
      <w:tblPr/>
      <w:tcPr>
        <w:shd w:val="clear" w:color="auto" w:fill="FFD494"/>
      </w:tcPr>
    </w:tblStylePr>
    <w:tblStylePr w:type="lastRow">
      <w:rPr>
        <w:rFonts w:cs="Times New Roman"/>
        <w:b/>
        <w:bCs/>
        <w:color w:val="000000"/>
      </w:rPr>
      <w:tblPr/>
      <w:tcPr>
        <w:shd w:val="clear" w:color="auto" w:fill="FFD494"/>
      </w:tcPr>
    </w:tblStylePr>
    <w:tblStylePr w:type="firstCol">
      <w:rPr>
        <w:rFonts w:cs="Times New Roman"/>
        <w:color w:val="FFFFFF"/>
      </w:rPr>
      <w:tblPr/>
      <w:tcPr>
        <w:shd w:val="clear" w:color="auto" w:fill="B66D00"/>
      </w:tcPr>
    </w:tblStylePr>
    <w:tblStylePr w:type="lastCol">
      <w:rPr>
        <w:rFonts w:cs="Times New Roman"/>
        <w:color w:val="FFFFFF"/>
      </w:rPr>
      <w:tblPr/>
      <w:tcPr>
        <w:shd w:val="clear" w:color="auto" w:fill="B66D00"/>
      </w:tcPr>
    </w:tblStylePr>
    <w:tblStylePr w:type="band1Vert">
      <w:rPr>
        <w:rFonts w:cs="Times New Roman"/>
      </w:rPr>
      <w:tblPr/>
      <w:tcPr>
        <w:shd w:val="clear" w:color="auto" w:fill="FFC97A"/>
      </w:tcPr>
    </w:tblStylePr>
    <w:tblStylePr w:type="band1Horz">
      <w:rPr>
        <w:rFonts w:cs="Times New Roman"/>
      </w:rPr>
      <w:tblPr/>
      <w:tcPr>
        <w:shd w:val="clear" w:color="auto" w:fill="FFC97A"/>
      </w:tcPr>
    </w:tblStylePr>
  </w:style>
  <w:style w:type="table" w:customStyle="1" w:styleId="MittlereSchattierung11">
    <w:name w:val="Mittlere Schattierung 11"/>
    <w:uiPriority w:val="99"/>
    <w:semiHidden/>
    <w:locked/>
    <w:rsid w:val="0070541D"/>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ittlereSchattierung1-Akzent11">
    <w:name w:val="Mittlere Schattierung 1 - Akzent 11"/>
    <w:uiPriority w:val="99"/>
    <w:semiHidden/>
    <w:locked/>
    <w:rsid w:val="0070541D"/>
    <w:rPr>
      <w:sz w:val="20"/>
      <w:szCs w:val="20"/>
      <w:lang w:val="sr-Latn-CS" w:eastAsia="sr-Latn-CS"/>
    </w:rPr>
    <w:tblPr>
      <w:tblStyleRowBandSize w:val="1"/>
      <w:tblStyleColBandSize w:val="1"/>
      <w:tblInd w:w="0" w:type="dxa"/>
      <w:tblBorders>
        <w:top w:val="single" w:sz="8" w:space="0" w:color="242EA8"/>
        <w:left w:val="single" w:sz="8" w:space="0" w:color="242EA8"/>
        <w:bottom w:val="single" w:sz="8" w:space="0" w:color="242EA8"/>
        <w:right w:val="single" w:sz="8" w:space="0" w:color="242EA8"/>
        <w:insideH w:val="single" w:sz="8" w:space="0" w:color="242EA8"/>
      </w:tblBorders>
      <w:tblCellMar>
        <w:top w:w="0" w:type="dxa"/>
        <w:left w:w="108" w:type="dxa"/>
        <w:bottom w:w="0" w:type="dxa"/>
        <w:right w:w="108" w:type="dxa"/>
      </w:tblCellMar>
    </w:tblPr>
  </w:style>
  <w:style w:type="table" w:styleId="MediumShading1-Accent2">
    <w:name w:val="Medium Shading 1 Accent 2"/>
    <w:basedOn w:val="TableNormal"/>
    <w:uiPriority w:val="99"/>
    <w:semiHidden/>
    <w:locked/>
    <w:rsid w:val="0070541D"/>
    <w:rPr>
      <w:sz w:val="20"/>
      <w:szCs w:val="20"/>
    </w:rPr>
    <w:tblPr>
      <w:tblStyleRowBandSize w:val="1"/>
      <w:tblStyleColBandSize w:val="1"/>
      <w:tblInd w:w="0" w:type="dxa"/>
      <w:tblBorders>
        <w:top w:val="single" w:sz="8" w:space="0" w:color="3CAEEC"/>
        <w:left w:val="single" w:sz="8" w:space="0" w:color="3CAEEC"/>
        <w:bottom w:val="single" w:sz="8" w:space="0" w:color="3CAEEC"/>
        <w:right w:val="single" w:sz="8" w:space="0" w:color="3CAEEC"/>
        <w:insideH w:val="single" w:sz="8" w:space="0" w:color="3CAEEC"/>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3CAEEC"/>
          <w:left w:val="single" w:sz="8" w:space="0" w:color="3CAEEC"/>
          <w:bottom w:val="single" w:sz="8" w:space="0" w:color="3CAEEC"/>
          <w:right w:val="single" w:sz="8" w:space="0" w:color="3CAEEC"/>
          <w:insideH w:val="nil"/>
          <w:insideV w:val="nil"/>
        </w:tcBorders>
        <w:shd w:val="clear" w:color="auto" w:fill="148DCD"/>
      </w:tcPr>
    </w:tblStylePr>
    <w:tblStylePr w:type="lastRow">
      <w:pPr>
        <w:spacing w:before="0" w:after="0"/>
      </w:pPr>
      <w:rPr>
        <w:rFonts w:cs="Times New Roman"/>
        <w:b/>
        <w:bCs/>
      </w:rPr>
      <w:tblPr/>
      <w:tcPr>
        <w:tcBorders>
          <w:top w:val="double" w:sz="6" w:space="0" w:color="3CAEEC"/>
          <w:left w:val="single" w:sz="8" w:space="0" w:color="3CAEEC"/>
          <w:bottom w:val="single" w:sz="8" w:space="0" w:color="3CAEEC"/>
          <w:right w:val="single" w:sz="8" w:space="0" w:color="3CAEEC"/>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EE4F8"/>
      </w:tcPr>
    </w:tblStylePr>
    <w:tblStylePr w:type="band1Horz">
      <w:rPr>
        <w:rFonts w:cs="Times New Roman"/>
      </w:rPr>
      <w:tblPr/>
      <w:tcPr>
        <w:tcBorders>
          <w:insideH w:val="nil"/>
          <w:insideV w:val="nil"/>
        </w:tcBorders>
        <w:shd w:val="clear" w:color="auto" w:fill="BEE4F8"/>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semiHidden/>
    <w:locked/>
    <w:rsid w:val="0070541D"/>
    <w:rPr>
      <w:sz w:val="20"/>
      <w:szCs w:val="20"/>
    </w:rPr>
    <w:tblPr>
      <w:tblStyleRowBandSize w:val="1"/>
      <w:tblStyleColBandSize w:val="1"/>
      <w:tblInd w:w="0" w:type="dxa"/>
      <w:tblBorders>
        <w:top w:val="single" w:sz="8" w:space="0" w:color="AECBEA"/>
        <w:left w:val="single" w:sz="8" w:space="0" w:color="AECBEA"/>
        <w:bottom w:val="single" w:sz="8" w:space="0" w:color="AECBEA"/>
        <w:right w:val="single" w:sz="8" w:space="0" w:color="AECBEA"/>
        <w:insideH w:val="single" w:sz="8" w:space="0" w:color="AECBE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AECBEA"/>
          <w:left w:val="single" w:sz="8" w:space="0" w:color="AECBEA"/>
          <w:bottom w:val="single" w:sz="8" w:space="0" w:color="AECBEA"/>
          <w:right w:val="single" w:sz="8" w:space="0" w:color="AECBEA"/>
          <w:insideH w:val="nil"/>
          <w:insideV w:val="nil"/>
        </w:tcBorders>
        <w:shd w:val="clear" w:color="auto" w:fill="94BAE3"/>
      </w:tcPr>
    </w:tblStylePr>
    <w:tblStylePr w:type="lastRow">
      <w:pPr>
        <w:spacing w:before="0" w:after="0"/>
      </w:pPr>
      <w:rPr>
        <w:rFonts w:cs="Times New Roman"/>
        <w:b/>
        <w:bCs/>
      </w:rPr>
      <w:tblPr/>
      <w:tcPr>
        <w:tcBorders>
          <w:top w:val="double" w:sz="6" w:space="0" w:color="AECBEA"/>
          <w:left w:val="single" w:sz="8" w:space="0" w:color="AECBEA"/>
          <w:bottom w:val="single" w:sz="8" w:space="0" w:color="AECBEA"/>
          <w:right w:val="single" w:sz="8" w:space="0" w:color="AECBE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4EDF8"/>
      </w:tcPr>
    </w:tblStylePr>
    <w:tblStylePr w:type="band1Horz">
      <w:rPr>
        <w:rFonts w:cs="Times New Roman"/>
      </w:rPr>
      <w:tblPr/>
      <w:tcPr>
        <w:tcBorders>
          <w:insideH w:val="nil"/>
          <w:insideV w:val="nil"/>
        </w:tcBorders>
        <w:shd w:val="clear" w:color="auto" w:fill="E4EDF8"/>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semiHidden/>
    <w:locked/>
    <w:rsid w:val="0070541D"/>
    <w:rPr>
      <w:sz w:val="20"/>
      <w:szCs w:val="20"/>
    </w:rPr>
    <w:tblPr>
      <w:tblStyleRowBandSize w:val="1"/>
      <w:tblStyleColBandSize w:val="1"/>
      <w:tblInd w:w="0" w:type="dxa"/>
      <w:tblBorders>
        <w:top w:val="single" w:sz="8" w:space="0" w:color="9FE03B"/>
        <w:left w:val="single" w:sz="8" w:space="0" w:color="9FE03B"/>
        <w:bottom w:val="single" w:sz="8" w:space="0" w:color="9FE03B"/>
        <w:right w:val="single" w:sz="8" w:space="0" w:color="9FE03B"/>
        <w:insideH w:val="single" w:sz="8" w:space="0" w:color="9FE03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E03B"/>
          <w:left w:val="single" w:sz="8" w:space="0" w:color="9FE03B"/>
          <w:bottom w:val="single" w:sz="8" w:space="0" w:color="9FE03B"/>
          <w:right w:val="single" w:sz="8" w:space="0" w:color="9FE03B"/>
          <w:insideH w:val="nil"/>
          <w:insideV w:val="nil"/>
        </w:tcBorders>
        <w:shd w:val="clear" w:color="auto" w:fill="79B51C"/>
      </w:tcPr>
    </w:tblStylePr>
    <w:tblStylePr w:type="lastRow">
      <w:pPr>
        <w:spacing w:before="0" w:after="0"/>
      </w:pPr>
      <w:rPr>
        <w:rFonts w:cs="Times New Roman"/>
        <w:b/>
        <w:bCs/>
      </w:rPr>
      <w:tblPr/>
      <w:tcPr>
        <w:tcBorders>
          <w:top w:val="double" w:sz="6" w:space="0" w:color="9FE03B"/>
          <w:left w:val="single" w:sz="8" w:space="0" w:color="9FE03B"/>
          <w:bottom w:val="single" w:sz="8" w:space="0" w:color="9FE03B"/>
          <w:right w:val="single" w:sz="8" w:space="0" w:color="9FE03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F5BE"/>
      </w:tcPr>
    </w:tblStylePr>
    <w:tblStylePr w:type="band1Horz">
      <w:rPr>
        <w:rFonts w:cs="Times New Roman"/>
      </w:rPr>
      <w:tblPr/>
      <w:tcPr>
        <w:tcBorders>
          <w:insideH w:val="nil"/>
          <w:insideV w:val="nil"/>
        </w:tcBorders>
        <w:shd w:val="clear" w:color="auto" w:fill="DFF5BE"/>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semiHidden/>
    <w:locked/>
    <w:rsid w:val="0070541D"/>
    <w:rPr>
      <w:sz w:val="20"/>
      <w:szCs w:val="20"/>
    </w:rPr>
    <w:tblPr>
      <w:tblStyleRowBandSize w:val="1"/>
      <w:tblStyleColBandSize w:val="1"/>
      <w:tblInd w:w="0" w:type="dxa"/>
      <w:tblBorders>
        <w:top w:val="single" w:sz="8" w:space="0" w:color="DAF91F"/>
        <w:left w:val="single" w:sz="8" w:space="0" w:color="DAF91F"/>
        <w:bottom w:val="single" w:sz="8" w:space="0" w:color="DAF91F"/>
        <w:right w:val="single" w:sz="8" w:space="0" w:color="DAF91F"/>
        <w:insideH w:val="single" w:sz="8" w:space="0" w:color="DAF91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DAF91F"/>
          <w:left w:val="single" w:sz="8" w:space="0" w:color="DAF91F"/>
          <w:bottom w:val="single" w:sz="8" w:space="0" w:color="DAF91F"/>
          <w:right w:val="single" w:sz="8" w:space="0" w:color="DAF91F"/>
          <w:insideH w:val="nil"/>
          <w:insideV w:val="nil"/>
        </w:tcBorders>
        <w:shd w:val="clear" w:color="auto" w:fill="ACC705"/>
      </w:tcPr>
    </w:tblStylePr>
    <w:tblStylePr w:type="lastRow">
      <w:pPr>
        <w:spacing w:before="0" w:after="0"/>
      </w:pPr>
      <w:rPr>
        <w:rFonts w:cs="Times New Roman"/>
        <w:b/>
        <w:bCs/>
      </w:rPr>
      <w:tblPr/>
      <w:tcPr>
        <w:tcBorders>
          <w:top w:val="double" w:sz="6" w:space="0" w:color="DAF91F"/>
          <w:left w:val="single" w:sz="8" w:space="0" w:color="DAF91F"/>
          <w:bottom w:val="single" w:sz="8" w:space="0" w:color="DAF91F"/>
          <w:right w:val="single" w:sz="8" w:space="0" w:color="DAF91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3FDB5"/>
      </w:tcPr>
    </w:tblStylePr>
    <w:tblStylePr w:type="band1Horz">
      <w:rPr>
        <w:rFonts w:cs="Times New Roman"/>
      </w:rPr>
      <w:tblPr/>
      <w:tcPr>
        <w:tcBorders>
          <w:insideH w:val="nil"/>
          <w:insideV w:val="nil"/>
        </w:tcBorders>
        <w:shd w:val="clear" w:color="auto" w:fill="F3FDB5"/>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semiHidden/>
    <w:locked/>
    <w:rsid w:val="0070541D"/>
    <w:rPr>
      <w:sz w:val="20"/>
      <w:szCs w:val="20"/>
    </w:rPr>
    <w:tblPr>
      <w:tblStyleRowBandSize w:val="1"/>
      <w:tblStyleColBandSize w:val="1"/>
      <w:tblInd w:w="0" w:type="dxa"/>
      <w:tblBorders>
        <w:top w:val="single" w:sz="8" w:space="0" w:color="FFAF37"/>
        <w:left w:val="single" w:sz="8" w:space="0" w:color="FFAF37"/>
        <w:bottom w:val="single" w:sz="8" w:space="0" w:color="FFAF37"/>
        <w:right w:val="single" w:sz="8" w:space="0" w:color="FFAF37"/>
        <w:insideH w:val="single" w:sz="8" w:space="0" w:color="FFAF37"/>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AF37"/>
          <w:left w:val="single" w:sz="8" w:space="0" w:color="FFAF37"/>
          <w:bottom w:val="single" w:sz="8" w:space="0" w:color="FFAF37"/>
          <w:right w:val="single" w:sz="8" w:space="0" w:color="FFAF37"/>
          <w:insideH w:val="nil"/>
          <w:insideV w:val="nil"/>
        </w:tcBorders>
        <w:shd w:val="clear" w:color="auto" w:fill="F39200"/>
      </w:tcPr>
    </w:tblStylePr>
    <w:tblStylePr w:type="lastRow">
      <w:pPr>
        <w:spacing w:before="0" w:after="0"/>
      </w:pPr>
      <w:rPr>
        <w:rFonts w:cs="Times New Roman"/>
        <w:b/>
        <w:bCs/>
      </w:rPr>
      <w:tblPr/>
      <w:tcPr>
        <w:tcBorders>
          <w:top w:val="double" w:sz="6" w:space="0" w:color="FFAF37"/>
          <w:left w:val="single" w:sz="8" w:space="0" w:color="FFAF37"/>
          <w:bottom w:val="single" w:sz="8" w:space="0" w:color="FFAF37"/>
          <w:right w:val="single" w:sz="8" w:space="0" w:color="FFAF37"/>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4BD"/>
      </w:tcPr>
    </w:tblStylePr>
    <w:tblStylePr w:type="band1Horz">
      <w:rPr>
        <w:rFonts w:cs="Times New Roman"/>
      </w:rPr>
      <w:tblPr/>
      <w:tcPr>
        <w:tcBorders>
          <w:insideH w:val="nil"/>
          <w:insideV w:val="nil"/>
        </w:tcBorders>
        <w:shd w:val="clear" w:color="auto" w:fill="FFE4BD"/>
      </w:tcPr>
    </w:tblStylePr>
    <w:tblStylePr w:type="band2Horz">
      <w:rPr>
        <w:rFonts w:cs="Times New Roman"/>
      </w:rPr>
      <w:tblPr/>
      <w:tcPr>
        <w:tcBorders>
          <w:insideH w:val="nil"/>
          <w:insideV w:val="nil"/>
        </w:tcBorders>
      </w:tcPr>
    </w:tblStylePr>
  </w:style>
  <w:style w:type="table" w:customStyle="1" w:styleId="MittlereSchattierung21">
    <w:name w:val="Mittlere Schattierung 21"/>
    <w:uiPriority w:val="99"/>
    <w:semiHidden/>
    <w:locked/>
    <w:rsid w:val="0070541D"/>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11">
    <w:name w:val="Mittlere Schattierung 2 - Akzent 11"/>
    <w:uiPriority w:val="99"/>
    <w:semiHidden/>
    <w:locked/>
    <w:rsid w:val="0070541D"/>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semiHidden/>
    <w:locked/>
    <w:rsid w:val="0070541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148DC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148DCD"/>
      </w:tcPr>
    </w:tblStylePr>
    <w:tblStylePr w:type="lastCol">
      <w:rPr>
        <w:rFonts w:cs="Times New Roman"/>
        <w:b/>
        <w:bCs/>
        <w:color w:val="FFFFFF"/>
      </w:rPr>
      <w:tblPr/>
      <w:tcPr>
        <w:tcBorders>
          <w:left w:val="nil"/>
          <w:right w:val="nil"/>
          <w:insideH w:val="nil"/>
          <w:insideV w:val="nil"/>
        </w:tcBorders>
        <w:shd w:val="clear" w:color="auto" w:fill="148DC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locked/>
    <w:rsid w:val="0070541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4BAE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4BAE3"/>
      </w:tcPr>
    </w:tblStylePr>
    <w:tblStylePr w:type="lastCol">
      <w:rPr>
        <w:rFonts w:cs="Times New Roman"/>
        <w:b/>
        <w:bCs/>
        <w:color w:val="FFFFFF"/>
      </w:rPr>
      <w:tblPr/>
      <w:tcPr>
        <w:tcBorders>
          <w:left w:val="nil"/>
          <w:right w:val="nil"/>
          <w:insideH w:val="nil"/>
          <w:insideV w:val="nil"/>
        </w:tcBorders>
        <w:shd w:val="clear" w:color="auto" w:fill="94BAE3"/>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locked/>
    <w:rsid w:val="0070541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9B51C"/>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9B51C"/>
      </w:tcPr>
    </w:tblStylePr>
    <w:tblStylePr w:type="lastCol">
      <w:rPr>
        <w:rFonts w:cs="Times New Roman"/>
        <w:b/>
        <w:bCs/>
        <w:color w:val="FFFFFF"/>
      </w:rPr>
      <w:tblPr/>
      <w:tcPr>
        <w:tcBorders>
          <w:left w:val="nil"/>
          <w:right w:val="nil"/>
          <w:insideH w:val="nil"/>
          <w:insideV w:val="nil"/>
        </w:tcBorders>
        <w:shd w:val="clear" w:color="auto" w:fill="79B51C"/>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locked/>
    <w:rsid w:val="0070541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CC70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CC705"/>
      </w:tcPr>
    </w:tblStylePr>
    <w:tblStylePr w:type="lastCol">
      <w:rPr>
        <w:rFonts w:cs="Times New Roman"/>
        <w:b/>
        <w:bCs/>
        <w:color w:val="FFFFFF"/>
      </w:rPr>
      <w:tblPr/>
      <w:tcPr>
        <w:tcBorders>
          <w:left w:val="nil"/>
          <w:right w:val="nil"/>
          <w:insideH w:val="nil"/>
          <w:insideV w:val="nil"/>
        </w:tcBorders>
        <w:shd w:val="clear" w:color="auto" w:fill="ACC70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locked/>
    <w:rsid w:val="0070541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392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39200"/>
      </w:tcPr>
    </w:tblStylePr>
    <w:tblStylePr w:type="lastCol">
      <w:rPr>
        <w:rFonts w:cs="Times New Roman"/>
        <w:b/>
        <w:bCs/>
        <w:color w:val="FFFFFF"/>
      </w:rPr>
      <w:tblPr/>
      <w:tcPr>
        <w:tcBorders>
          <w:left w:val="nil"/>
          <w:right w:val="nil"/>
          <w:insideH w:val="nil"/>
          <w:insideV w:val="nil"/>
        </w:tcBorders>
        <w:shd w:val="clear" w:color="auto" w:fill="F392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Liste11">
    <w:name w:val="Mittlere Liste 11"/>
    <w:uiPriority w:val="99"/>
    <w:semiHidden/>
    <w:locked/>
    <w:rsid w:val="0070541D"/>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ittlereListe1-Akzent11">
    <w:name w:val="Mittlere Liste 1 - Akzent 11"/>
    <w:uiPriority w:val="99"/>
    <w:semiHidden/>
    <w:locked/>
    <w:rsid w:val="0070541D"/>
    <w:rPr>
      <w:color w:val="000000"/>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styleId="MediumList1-Accent2">
    <w:name w:val="Medium List 1 Accent 2"/>
    <w:basedOn w:val="TableNormal"/>
    <w:uiPriority w:val="99"/>
    <w:semiHidden/>
    <w:locked/>
    <w:rsid w:val="0070541D"/>
    <w:rPr>
      <w:color w:val="000000"/>
      <w:sz w:val="20"/>
      <w:szCs w:val="20"/>
    </w:rPr>
    <w:tblPr>
      <w:tblStyleRowBandSize w:val="1"/>
      <w:tblStyleColBandSize w:val="1"/>
      <w:tblInd w:w="0" w:type="dxa"/>
      <w:tblBorders>
        <w:top w:val="single" w:sz="8" w:space="0" w:color="148DCD"/>
        <w:bottom w:val="single" w:sz="8" w:space="0" w:color="148DCD"/>
      </w:tblBorders>
      <w:tblCellMar>
        <w:top w:w="0" w:type="dxa"/>
        <w:left w:w="108" w:type="dxa"/>
        <w:bottom w:w="0" w:type="dxa"/>
        <w:right w:w="108" w:type="dxa"/>
      </w:tblCellMar>
    </w:tblPr>
    <w:tblStylePr w:type="firstRow">
      <w:rPr>
        <w:rFonts w:ascii="Arial" w:eastAsia="Times New Roman" w:hAnsi="Arial" w:cs="Times New Roman"/>
      </w:rPr>
      <w:tblPr/>
      <w:tcPr>
        <w:tcBorders>
          <w:top w:val="nil"/>
          <w:bottom w:val="single" w:sz="8" w:space="0" w:color="148DCD"/>
        </w:tcBorders>
      </w:tcPr>
    </w:tblStylePr>
    <w:tblStylePr w:type="lastRow">
      <w:rPr>
        <w:rFonts w:cs="Times New Roman"/>
        <w:b/>
        <w:bCs/>
        <w:color w:val="1F497D"/>
      </w:rPr>
      <w:tblPr/>
      <w:tcPr>
        <w:tcBorders>
          <w:top w:val="single" w:sz="8" w:space="0" w:color="148DCD"/>
          <w:bottom w:val="single" w:sz="8" w:space="0" w:color="148DCD"/>
        </w:tcBorders>
      </w:tcPr>
    </w:tblStylePr>
    <w:tblStylePr w:type="firstCol">
      <w:rPr>
        <w:rFonts w:cs="Times New Roman"/>
        <w:b/>
        <w:bCs/>
      </w:rPr>
    </w:tblStylePr>
    <w:tblStylePr w:type="lastCol">
      <w:rPr>
        <w:rFonts w:cs="Times New Roman"/>
        <w:b/>
        <w:bCs/>
      </w:rPr>
      <w:tblPr/>
      <w:tcPr>
        <w:tcBorders>
          <w:top w:val="single" w:sz="8" w:space="0" w:color="148DCD"/>
          <w:bottom w:val="single" w:sz="8" w:space="0" w:color="148DCD"/>
        </w:tcBorders>
      </w:tcPr>
    </w:tblStylePr>
    <w:tblStylePr w:type="band1Vert">
      <w:rPr>
        <w:rFonts w:cs="Times New Roman"/>
      </w:rPr>
      <w:tblPr/>
      <w:tcPr>
        <w:shd w:val="clear" w:color="auto" w:fill="BEE4F8"/>
      </w:tcPr>
    </w:tblStylePr>
    <w:tblStylePr w:type="band1Horz">
      <w:rPr>
        <w:rFonts w:cs="Times New Roman"/>
      </w:rPr>
      <w:tblPr/>
      <w:tcPr>
        <w:shd w:val="clear" w:color="auto" w:fill="BEE4F8"/>
      </w:tcPr>
    </w:tblStylePr>
  </w:style>
  <w:style w:type="table" w:styleId="MediumList1-Accent3">
    <w:name w:val="Medium List 1 Accent 3"/>
    <w:basedOn w:val="TableNormal"/>
    <w:uiPriority w:val="99"/>
    <w:semiHidden/>
    <w:locked/>
    <w:rsid w:val="0070541D"/>
    <w:rPr>
      <w:color w:val="000000"/>
      <w:sz w:val="20"/>
      <w:szCs w:val="20"/>
    </w:rPr>
    <w:tblPr>
      <w:tblStyleRowBandSize w:val="1"/>
      <w:tblStyleColBandSize w:val="1"/>
      <w:tblInd w:w="0" w:type="dxa"/>
      <w:tblBorders>
        <w:top w:val="single" w:sz="8" w:space="0" w:color="94BAE3"/>
        <w:bottom w:val="single" w:sz="8" w:space="0" w:color="94BAE3"/>
      </w:tblBorders>
      <w:tblCellMar>
        <w:top w:w="0" w:type="dxa"/>
        <w:left w:w="108" w:type="dxa"/>
        <w:bottom w:w="0" w:type="dxa"/>
        <w:right w:w="108" w:type="dxa"/>
      </w:tblCellMar>
    </w:tblPr>
    <w:tblStylePr w:type="firstRow">
      <w:rPr>
        <w:rFonts w:ascii="Arial" w:eastAsia="Times New Roman" w:hAnsi="Arial" w:cs="Times New Roman"/>
      </w:rPr>
      <w:tblPr/>
      <w:tcPr>
        <w:tcBorders>
          <w:top w:val="nil"/>
          <w:bottom w:val="single" w:sz="8" w:space="0" w:color="94BAE3"/>
        </w:tcBorders>
      </w:tcPr>
    </w:tblStylePr>
    <w:tblStylePr w:type="lastRow">
      <w:rPr>
        <w:rFonts w:cs="Times New Roman"/>
        <w:b/>
        <w:bCs/>
        <w:color w:val="1F497D"/>
      </w:rPr>
      <w:tblPr/>
      <w:tcPr>
        <w:tcBorders>
          <w:top w:val="single" w:sz="8" w:space="0" w:color="94BAE3"/>
          <w:bottom w:val="single" w:sz="8" w:space="0" w:color="94BAE3"/>
        </w:tcBorders>
      </w:tcPr>
    </w:tblStylePr>
    <w:tblStylePr w:type="firstCol">
      <w:rPr>
        <w:rFonts w:cs="Times New Roman"/>
        <w:b/>
        <w:bCs/>
      </w:rPr>
    </w:tblStylePr>
    <w:tblStylePr w:type="lastCol">
      <w:rPr>
        <w:rFonts w:cs="Times New Roman"/>
        <w:b/>
        <w:bCs/>
      </w:rPr>
      <w:tblPr/>
      <w:tcPr>
        <w:tcBorders>
          <w:top w:val="single" w:sz="8" w:space="0" w:color="94BAE3"/>
          <w:bottom w:val="single" w:sz="8" w:space="0" w:color="94BAE3"/>
        </w:tcBorders>
      </w:tcPr>
    </w:tblStylePr>
    <w:tblStylePr w:type="band1Vert">
      <w:rPr>
        <w:rFonts w:cs="Times New Roman"/>
      </w:rPr>
      <w:tblPr/>
      <w:tcPr>
        <w:shd w:val="clear" w:color="auto" w:fill="E4EDF8"/>
      </w:tcPr>
    </w:tblStylePr>
    <w:tblStylePr w:type="band1Horz">
      <w:rPr>
        <w:rFonts w:cs="Times New Roman"/>
      </w:rPr>
      <w:tblPr/>
      <w:tcPr>
        <w:shd w:val="clear" w:color="auto" w:fill="E4EDF8"/>
      </w:tcPr>
    </w:tblStylePr>
  </w:style>
  <w:style w:type="table" w:styleId="MediumList1-Accent4">
    <w:name w:val="Medium List 1 Accent 4"/>
    <w:basedOn w:val="TableNormal"/>
    <w:uiPriority w:val="99"/>
    <w:semiHidden/>
    <w:locked/>
    <w:rsid w:val="0070541D"/>
    <w:rPr>
      <w:color w:val="000000"/>
      <w:sz w:val="20"/>
      <w:szCs w:val="20"/>
    </w:rPr>
    <w:tblPr>
      <w:tblStyleRowBandSize w:val="1"/>
      <w:tblStyleColBandSize w:val="1"/>
      <w:tblInd w:w="0" w:type="dxa"/>
      <w:tblBorders>
        <w:top w:val="single" w:sz="8" w:space="0" w:color="79B51C"/>
        <w:bottom w:val="single" w:sz="8" w:space="0" w:color="79B51C"/>
      </w:tblBorders>
      <w:tblCellMar>
        <w:top w:w="0" w:type="dxa"/>
        <w:left w:w="108" w:type="dxa"/>
        <w:bottom w:w="0" w:type="dxa"/>
        <w:right w:w="108" w:type="dxa"/>
      </w:tblCellMar>
    </w:tblPr>
    <w:tblStylePr w:type="firstRow">
      <w:rPr>
        <w:rFonts w:ascii="Arial" w:eastAsia="Times New Roman" w:hAnsi="Arial" w:cs="Times New Roman"/>
      </w:rPr>
      <w:tblPr/>
      <w:tcPr>
        <w:tcBorders>
          <w:top w:val="nil"/>
          <w:bottom w:val="single" w:sz="8" w:space="0" w:color="79B51C"/>
        </w:tcBorders>
      </w:tcPr>
    </w:tblStylePr>
    <w:tblStylePr w:type="lastRow">
      <w:rPr>
        <w:rFonts w:cs="Times New Roman"/>
        <w:b/>
        <w:bCs/>
        <w:color w:val="1F497D"/>
      </w:rPr>
      <w:tblPr/>
      <w:tcPr>
        <w:tcBorders>
          <w:top w:val="single" w:sz="8" w:space="0" w:color="79B51C"/>
          <w:bottom w:val="single" w:sz="8" w:space="0" w:color="79B51C"/>
        </w:tcBorders>
      </w:tcPr>
    </w:tblStylePr>
    <w:tblStylePr w:type="firstCol">
      <w:rPr>
        <w:rFonts w:cs="Times New Roman"/>
        <w:b/>
        <w:bCs/>
      </w:rPr>
    </w:tblStylePr>
    <w:tblStylePr w:type="lastCol">
      <w:rPr>
        <w:rFonts w:cs="Times New Roman"/>
        <w:b/>
        <w:bCs/>
      </w:rPr>
      <w:tblPr/>
      <w:tcPr>
        <w:tcBorders>
          <w:top w:val="single" w:sz="8" w:space="0" w:color="79B51C"/>
          <w:bottom w:val="single" w:sz="8" w:space="0" w:color="79B51C"/>
        </w:tcBorders>
      </w:tcPr>
    </w:tblStylePr>
    <w:tblStylePr w:type="band1Vert">
      <w:rPr>
        <w:rFonts w:cs="Times New Roman"/>
      </w:rPr>
      <w:tblPr/>
      <w:tcPr>
        <w:shd w:val="clear" w:color="auto" w:fill="DFF5BE"/>
      </w:tcPr>
    </w:tblStylePr>
    <w:tblStylePr w:type="band1Horz">
      <w:rPr>
        <w:rFonts w:cs="Times New Roman"/>
      </w:rPr>
      <w:tblPr/>
      <w:tcPr>
        <w:shd w:val="clear" w:color="auto" w:fill="DFF5BE"/>
      </w:tcPr>
    </w:tblStylePr>
  </w:style>
  <w:style w:type="table" w:styleId="MediumList1-Accent5">
    <w:name w:val="Medium List 1 Accent 5"/>
    <w:basedOn w:val="TableNormal"/>
    <w:uiPriority w:val="99"/>
    <w:semiHidden/>
    <w:locked/>
    <w:rsid w:val="0070541D"/>
    <w:rPr>
      <w:color w:val="000000"/>
      <w:sz w:val="20"/>
      <w:szCs w:val="20"/>
    </w:rPr>
    <w:tblPr>
      <w:tblStyleRowBandSize w:val="1"/>
      <w:tblStyleColBandSize w:val="1"/>
      <w:tblInd w:w="0" w:type="dxa"/>
      <w:tblBorders>
        <w:top w:val="single" w:sz="8" w:space="0" w:color="ACC705"/>
        <w:bottom w:val="single" w:sz="8" w:space="0" w:color="ACC705"/>
      </w:tblBorders>
      <w:tblCellMar>
        <w:top w:w="0" w:type="dxa"/>
        <w:left w:w="108" w:type="dxa"/>
        <w:bottom w:w="0" w:type="dxa"/>
        <w:right w:w="108" w:type="dxa"/>
      </w:tblCellMar>
    </w:tblPr>
    <w:tblStylePr w:type="firstRow">
      <w:rPr>
        <w:rFonts w:ascii="Arial" w:eastAsia="Times New Roman" w:hAnsi="Arial" w:cs="Times New Roman"/>
      </w:rPr>
      <w:tblPr/>
      <w:tcPr>
        <w:tcBorders>
          <w:top w:val="nil"/>
          <w:bottom w:val="single" w:sz="8" w:space="0" w:color="ACC705"/>
        </w:tcBorders>
      </w:tcPr>
    </w:tblStylePr>
    <w:tblStylePr w:type="lastRow">
      <w:rPr>
        <w:rFonts w:cs="Times New Roman"/>
        <w:b/>
        <w:bCs/>
        <w:color w:val="1F497D"/>
      </w:rPr>
      <w:tblPr/>
      <w:tcPr>
        <w:tcBorders>
          <w:top w:val="single" w:sz="8" w:space="0" w:color="ACC705"/>
          <w:bottom w:val="single" w:sz="8" w:space="0" w:color="ACC705"/>
        </w:tcBorders>
      </w:tcPr>
    </w:tblStylePr>
    <w:tblStylePr w:type="firstCol">
      <w:rPr>
        <w:rFonts w:cs="Times New Roman"/>
        <w:b/>
        <w:bCs/>
      </w:rPr>
    </w:tblStylePr>
    <w:tblStylePr w:type="lastCol">
      <w:rPr>
        <w:rFonts w:cs="Times New Roman"/>
        <w:b/>
        <w:bCs/>
      </w:rPr>
      <w:tblPr/>
      <w:tcPr>
        <w:tcBorders>
          <w:top w:val="single" w:sz="8" w:space="0" w:color="ACC705"/>
          <w:bottom w:val="single" w:sz="8" w:space="0" w:color="ACC705"/>
        </w:tcBorders>
      </w:tcPr>
    </w:tblStylePr>
    <w:tblStylePr w:type="band1Vert">
      <w:rPr>
        <w:rFonts w:cs="Times New Roman"/>
      </w:rPr>
      <w:tblPr/>
      <w:tcPr>
        <w:shd w:val="clear" w:color="auto" w:fill="F3FDB5"/>
      </w:tcPr>
    </w:tblStylePr>
    <w:tblStylePr w:type="band1Horz">
      <w:rPr>
        <w:rFonts w:cs="Times New Roman"/>
      </w:rPr>
      <w:tblPr/>
      <w:tcPr>
        <w:shd w:val="clear" w:color="auto" w:fill="F3FDB5"/>
      </w:tcPr>
    </w:tblStylePr>
  </w:style>
  <w:style w:type="table" w:styleId="MediumList1-Accent6">
    <w:name w:val="Medium List 1 Accent 6"/>
    <w:basedOn w:val="TableNormal"/>
    <w:uiPriority w:val="99"/>
    <w:semiHidden/>
    <w:locked/>
    <w:rsid w:val="0070541D"/>
    <w:rPr>
      <w:color w:val="000000"/>
      <w:sz w:val="20"/>
      <w:szCs w:val="20"/>
    </w:rPr>
    <w:tblPr>
      <w:tblStyleRowBandSize w:val="1"/>
      <w:tblStyleColBandSize w:val="1"/>
      <w:tblInd w:w="0" w:type="dxa"/>
      <w:tblBorders>
        <w:top w:val="single" w:sz="8" w:space="0" w:color="F39200"/>
        <w:bottom w:val="single" w:sz="8" w:space="0" w:color="F39200"/>
      </w:tblBorders>
      <w:tblCellMar>
        <w:top w:w="0" w:type="dxa"/>
        <w:left w:w="108" w:type="dxa"/>
        <w:bottom w:w="0" w:type="dxa"/>
        <w:right w:w="108" w:type="dxa"/>
      </w:tblCellMar>
    </w:tblPr>
    <w:tblStylePr w:type="firstRow">
      <w:rPr>
        <w:rFonts w:ascii="Arial" w:eastAsia="Times New Roman" w:hAnsi="Arial" w:cs="Times New Roman"/>
      </w:rPr>
      <w:tblPr/>
      <w:tcPr>
        <w:tcBorders>
          <w:top w:val="nil"/>
          <w:bottom w:val="single" w:sz="8" w:space="0" w:color="F39200"/>
        </w:tcBorders>
      </w:tcPr>
    </w:tblStylePr>
    <w:tblStylePr w:type="lastRow">
      <w:rPr>
        <w:rFonts w:cs="Times New Roman"/>
        <w:b/>
        <w:bCs/>
        <w:color w:val="1F497D"/>
      </w:rPr>
      <w:tblPr/>
      <w:tcPr>
        <w:tcBorders>
          <w:top w:val="single" w:sz="8" w:space="0" w:color="F39200"/>
          <w:bottom w:val="single" w:sz="8" w:space="0" w:color="F39200"/>
        </w:tcBorders>
      </w:tcPr>
    </w:tblStylePr>
    <w:tblStylePr w:type="firstCol">
      <w:rPr>
        <w:rFonts w:cs="Times New Roman"/>
        <w:b/>
        <w:bCs/>
      </w:rPr>
    </w:tblStylePr>
    <w:tblStylePr w:type="lastCol">
      <w:rPr>
        <w:rFonts w:cs="Times New Roman"/>
        <w:b/>
        <w:bCs/>
      </w:rPr>
      <w:tblPr/>
      <w:tcPr>
        <w:tcBorders>
          <w:top w:val="single" w:sz="8" w:space="0" w:color="F39200"/>
          <w:bottom w:val="single" w:sz="8" w:space="0" w:color="F39200"/>
        </w:tcBorders>
      </w:tcPr>
    </w:tblStylePr>
    <w:tblStylePr w:type="band1Vert">
      <w:rPr>
        <w:rFonts w:cs="Times New Roman"/>
      </w:rPr>
      <w:tblPr/>
      <w:tcPr>
        <w:shd w:val="clear" w:color="auto" w:fill="FFE4BD"/>
      </w:tcPr>
    </w:tblStylePr>
    <w:tblStylePr w:type="band1Horz">
      <w:rPr>
        <w:rFonts w:cs="Times New Roman"/>
      </w:rPr>
      <w:tblPr/>
      <w:tcPr>
        <w:shd w:val="clear" w:color="auto" w:fill="FFE4BD"/>
      </w:tcPr>
    </w:tblStylePr>
  </w:style>
  <w:style w:type="table" w:customStyle="1" w:styleId="MittlereListe21">
    <w:name w:val="Mittlere Liste 21"/>
    <w:uiPriority w:val="99"/>
    <w:semiHidden/>
    <w:locked/>
    <w:rsid w:val="0070541D"/>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semiHidden/>
    <w:locked/>
    <w:rsid w:val="0070541D"/>
    <w:rPr>
      <w:color w:val="000000"/>
      <w:sz w:val="20"/>
      <w:szCs w:val="20"/>
    </w:rPr>
    <w:tblPr>
      <w:tblStyleRowBandSize w:val="1"/>
      <w:tblStyleColBandSize w:val="1"/>
      <w:tblInd w:w="0" w:type="dxa"/>
      <w:tblBorders>
        <w:top w:val="single" w:sz="8" w:space="0" w:color="121754"/>
        <w:left w:val="single" w:sz="8" w:space="0" w:color="121754"/>
        <w:bottom w:val="single" w:sz="8" w:space="0" w:color="121754"/>
        <w:right w:val="single" w:sz="8" w:space="0" w:color="121754"/>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121754"/>
          <w:right w:val="nil"/>
          <w:insideH w:val="nil"/>
          <w:insideV w:val="nil"/>
        </w:tcBorders>
        <w:shd w:val="clear" w:color="auto" w:fill="FFFFFF"/>
      </w:tcPr>
    </w:tblStylePr>
    <w:tblStylePr w:type="lastRow">
      <w:rPr>
        <w:rFonts w:cs="Times New Roman"/>
      </w:rPr>
      <w:tblPr/>
      <w:tcPr>
        <w:tcBorders>
          <w:top w:val="single" w:sz="8" w:space="0" w:color="12175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121754"/>
          <w:insideH w:val="nil"/>
          <w:insideV w:val="nil"/>
        </w:tcBorders>
        <w:shd w:val="clear" w:color="auto" w:fill="FFFFFF"/>
      </w:tcPr>
    </w:tblStylePr>
    <w:tblStylePr w:type="lastCol">
      <w:rPr>
        <w:rFonts w:cs="Times New Roman"/>
      </w:rPr>
      <w:tblPr/>
      <w:tcPr>
        <w:tcBorders>
          <w:top w:val="nil"/>
          <w:left w:val="single" w:sz="8" w:space="0" w:color="12175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ABB0ED"/>
      </w:tcPr>
    </w:tblStylePr>
    <w:tblStylePr w:type="band1Horz">
      <w:rPr>
        <w:rFonts w:cs="Times New Roman"/>
      </w:rPr>
      <w:tblPr/>
      <w:tcPr>
        <w:tcBorders>
          <w:top w:val="nil"/>
          <w:bottom w:val="nil"/>
          <w:insideH w:val="nil"/>
          <w:insideV w:val="nil"/>
        </w:tcBorders>
        <w:shd w:val="clear" w:color="auto" w:fill="ABB0ED"/>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semiHidden/>
    <w:locked/>
    <w:rsid w:val="0070541D"/>
    <w:rPr>
      <w:color w:val="000000"/>
      <w:sz w:val="20"/>
      <w:szCs w:val="20"/>
    </w:rPr>
    <w:tblPr>
      <w:tblStyleRowBandSize w:val="1"/>
      <w:tblStyleColBandSize w:val="1"/>
      <w:tblInd w:w="0" w:type="dxa"/>
      <w:tblBorders>
        <w:top w:val="single" w:sz="8" w:space="0" w:color="148DCD"/>
        <w:left w:val="single" w:sz="8" w:space="0" w:color="148DCD"/>
        <w:bottom w:val="single" w:sz="8" w:space="0" w:color="148DCD"/>
        <w:right w:val="single" w:sz="8" w:space="0" w:color="148DC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148DCD"/>
          <w:right w:val="nil"/>
          <w:insideH w:val="nil"/>
          <w:insideV w:val="nil"/>
        </w:tcBorders>
        <w:shd w:val="clear" w:color="auto" w:fill="FFFFFF"/>
      </w:tcPr>
    </w:tblStylePr>
    <w:tblStylePr w:type="lastRow">
      <w:rPr>
        <w:rFonts w:cs="Times New Roman"/>
      </w:rPr>
      <w:tblPr/>
      <w:tcPr>
        <w:tcBorders>
          <w:top w:val="single" w:sz="8" w:space="0" w:color="148DC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148DCD"/>
          <w:insideH w:val="nil"/>
          <w:insideV w:val="nil"/>
        </w:tcBorders>
        <w:shd w:val="clear" w:color="auto" w:fill="FFFFFF"/>
      </w:tcPr>
    </w:tblStylePr>
    <w:tblStylePr w:type="lastCol">
      <w:rPr>
        <w:rFonts w:cs="Times New Roman"/>
      </w:rPr>
      <w:tblPr/>
      <w:tcPr>
        <w:tcBorders>
          <w:top w:val="nil"/>
          <w:left w:val="single" w:sz="8" w:space="0" w:color="148DC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BEE4F8"/>
      </w:tcPr>
    </w:tblStylePr>
    <w:tblStylePr w:type="band1Horz">
      <w:rPr>
        <w:rFonts w:cs="Times New Roman"/>
      </w:rPr>
      <w:tblPr/>
      <w:tcPr>
        <w:tcBorders>
          <w:top w:val="nil"/>
          <w:bottom w:val="nil"/>
          <w:insideH w:val="nil"/>
          <w:insideV w:val="nil"/>
        </w:tcBorders>
        <w:shd w:val="clear" w:color="auto" w:fill="BEE4F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semiHidden/>
    <w:locked/>
    <w:rsid w:val="0070541D"/>
    <w:rPr>
      <w:color w:val="000000"/>
      <w:sz w:val="20"/>
      <w:szCs w:val="20"/>
    </w:rPr>
    <w:tblPr>
      <w:tblStyleRowBandSize w:val="1"/>
      <w:tblStyleColBandSize w:val="1"/>
      <w:tblInd w:w="0" w:type="dxa"/>
      <w:tblBorders>
        <w:top w:val="single" w:sz="8" w:space="0" w:color="94BAE3"/>
        <w:left w:val="single" w:sz="8" w:space="0" w:color="94BAE3"/>
        <w:bottom w:val="single" w:sz="8" w:space="0" w:color="94BAE3"/>
        <w:right w:val="single" w:sz="8" w:space="0" w:color="94BAE3"/>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4BAE3"/>
          <w:right w:val="nil"/>
          <w:insideH w:val="nil"/>
          <w:insideV w:val="nil"/>
        </w:tcBorders>
        <w:shd w:val="clear" w:color="auto" w:fill="FFFFFF"/>
      </w:tcPr>
    </w:tblStylePr>
    <w:tblStylePr w:type="lastRow">
      <w:rPr>
        <w:rFonts w:cs="Times New Roman"/>
      </w:rPr>
      <w:tblPr/>
      <w:tcPr>
        <w:tcBorders>
          <w:top w:val="single" w:sz="8" w:space="0" w:color="94BAE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4BAE3"/>
          <w:insideH w:val="nil"/>
          <w:insideV w:val="nil"/>
        </w:tcBorders>
        <w:shd w:val="clear" w:color="auto" w:fill="FFFFFF"/>
      </w:tcPr>
    </w:tblStylePr>
    <w:tblStylePr w:type="lastCol">
      <w:rPr>
        <w:rFonts w:cs="Times New Roman"/>
      </w:rPr>
      <w:tblPr/>
      <w:tcPr>
        <w:tcBorders>
          <w:top w:val="nil"/>
          <w:left w:val="single" w:sz="8" w:space="0" w:color="94BAE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4EDF8"/>
      </w:tcPr>
    </w:tblStylePr>
    <w:tblStylePr w:type="band1Horz">
      <w:rPr>
        <w:rFonts w:cs="Times New Roman"/>
      </w:rPr>
      <w:tblPr/>
      <w:tcPr>
        <w:tcBorders>
          <w:top w:val="nil"/>
          <w:bottom w:val="nil"/>
          <w:insideH w:val="nil"/>
          <w:insideV w:val="nil"/>
        </w:tcBorders>
        <w:shd w:val="clear" w:color="auto" w:fill="E4EDF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semiHidden/>
    <w:locked/>
    <w:rsid w:val="0070541D"/>
    <w:rPr>
      <w:color w:val="000000"/>
      <w:sz w:val="20"/>
      <w:szCs w:val="20"/>
    </w:rPr>
    <w:tblPr>
      <w:tblStyleRowBandSize w:val="1"/>
      <w:tblStyleColBandSize w:val="1"/>
      <w:tblInd w:w="0" w:type="dxa"/>
      <w:tblBorders>
        <w:top w:val="single" w:sz="8" w:space="0" w:color="79B51C"/>
        <w:left w:val="single" w:sz="8" w:space="0" w:color="79B51C"/>
        <w:bottom w:val="single" w:sz="8" w:space="0" w:color="79B51C"/>
        <w:right w:val="single" w:sz="8" w:space="0" w:color="79B51C"/>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79B51C"/>
          <w:right w:val="nil"/>
          <w:insideH w:val="nil"/>
          <w:insideV w:val="nil"/>
        </w:tcBorders>
        <w:shd w:val="clear" w:color="auto" w:fill="FFFFFF"/>
      </w:tcPr>
    </w:tblStylePr>
    <w:tblStylePr w:type="lastRow">
      <w:rPr>
        <w:rFonts w:cs="Times New Roman"/>
      </w:rPr>
      <w:tblPr/>
      <w:tcPr>
        <w:tcBorders>
          <w:top w:val="single" w:sz="8" w:space="0" w:color="79B51C"/>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9B51C"/>
          <w:insideH w:val="nil"/>
          <w:insideV w:val="nil"/>
        </w:tcBorders>
        <w:shd w:val="clear" w:color="auto" w:fill="FFFFFF"/>
      </w:tcPr>
    </w:tblStylePr>
    <w:tblStylePr w:type="lastCol">
      <w:rPr>
        <w:rFonts w:cs="Times New Roman"/>
      </w:rPr>
      <w:tblPr/>
      <w:tcPr>
        <w:tcBorders>
          <w:top w:val="nil"/>
          <w:left w:val="single" w:sz="8" w:space="0" w:color="79B51C"/>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F5BE"/>
      </w:tcPr>
    </w:tblStylePr>
    <w:tblStylePr w:type="band1Horz">
      <w:rPr>
        <w:rFonts w:cs="Times New Roman"/>
      </w:rPr>
      <w:tblPr/>
      <w:tcPr>
        <w:tcBorders>
          <w:top w:val="nil"/>
          <w:bottom w:val="nil"/>
          <w:insideH w:val="nil"/>
          <w:insideV w:val="nil"/>
        </w:tcBorders>
        <w:shd w:val="clear" w:color="auto" w:fill="DFF5B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semiHidden/>
    <w:locked/>
    <w:rsid w:val="0070541D"/>
    <w:rPr>
      <w:color w:val="000000"/>
      <w:sz w:val="20"/>
      <w:szCs w:val="20"/>
    </w:rPr>
    <w:tblPr>
      <w:tblStyleRowBandSize w:val="1"/>
      <w:tblStyleColBandSize w:val="1"/>
      <w:tblInd w:w="0" w:type="dxa"/>
      <w:tblBorders>
        <w:top w:val="single" w:sz="8" w:space="0" w:color="ACC705"/>
        <w:left w:val="single" w:sz="8" w:space="0" w:color="ACC705"/>
        <w:bottom w:val="single" w:sz="8" w:space="0" w:color="ACC705"/>
        <w:right w:val="single" w:sz="8" w:space="0" w:color="ACC70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ACC705"/>
          <w:right w:val="nil"/>
          <w:insideH w:val="nil"/>
          <w:insideV w:val="nil"/>
        </w:tcBorders>
        <w:shd w:val="clear" w:color="auto" w:fill="FFFFFF"/>
      </w:tcPr>
    </w:tblStylePr>
    <w:tblStylePr w:type="lastRow">
      <w:rPr>
        <w:rFonts w:cs="Times New Roman"/>
      </w:rPr>
      <w:tblPr/>
      <w:tcPr>
        <w:tcBorders>
          <w:top w:val="single" w:sz="8" w:space="0" w:color="ACC70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CC705"/>
          <w:insideH w:val="nil"/>
          <w:insideV w:val="nil"/>
        </w:tcBorders>
        <w:shd w:val="clear" w:color="auto" w:fill="FFFFFF"/>
      </w:tcPr>
    </w:tblStylePr>
    <w:tblStylePr w:type="lastCol">
      <w:rPr>
        <w:rFonts w:cs="Times New Roman"/>
      </w:rPr>
      <w:tblPr/>
      <w:tcPr>
        <w:tcBorders>
          <w:top w:val="nil"/>
          <w:left w:val="single" w:sz="8" w:space="0" w:color="ACC70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3FDB5"/>
      </w:tcPr>
    </w:tblStylePr>
    <w:tblStylePr w:type="band1Horz">
      <w:rPr>
        <w:rFonts w:cs="Times New Roman"/>
      </w:rPr>
      <w:tblPr/>
      <w:tcPr>
        <w:tcBorders>
          <w:top w:val="nil"/>
          <w:bottom w:val="nil"/>
          <w:insideH w:val="nil"/>
          <w:insideV w:val="nil"/>
        </w:tcBorders>
        <w:shd w:val="clear" w:color="auto" w:fill="F3FDB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semiHidden/>
    <w:locked/>
    <w:rsid w:val="0070541D"/>
    <w:rPr>
      <w:color w:val="000000"/>
      <w:sz w:val="20"/>
      <w:szCs w:val="20"/>
    </w:rPr>
    <w:tblPr>
      <w:tblStyleRowBandSize w:val="1"/>
      <w:tblStyleColBandSize w:val="1"/>
      <w:tblInd w:w="0" w:type="dxa"/>
      <w:tblBorders>
        <w:top w:val="single" w:sz="8" w:space="0" w:color="F39200"/>
        <w:left w:val="single" w:sz="8" w:space="0" w:color="F39200"/>
        <w:bottom w:val="single" w:sz="8" w:space="0" w:color="F39200"/>
        <w:right w:val="single" w:sz="8" w:space="0" w:color="F392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39200"/>
          <w:right w:val="nil"/>
          <w:insideH w:val="nil"/>
          <w:insideV w:val="nil"/>
        </w:tcBorders>
        <w:shd w:val="clear" w:color="auto" w:fill="FFFFFF"/>
      </w:tcPr>
    </w:tblStylePr>
    <w:tblStylePr w:type="lastRow">
      <w:rPr>
        <w:rFonts w:cs="Times New Roman"/>
      </w:rPr>
      <w:tblPr/>
      <w:tcPr>
        <w:tcBorders>
          <w:top w:val="single" w:sz="8" w:space="0" w:color="F392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39200"/>
          <w:insideH w:val="nil"/>
          <w:insideV w:val="nil"/>
        </w:tcBorders>
        <w:shd w:val="clear" w:color="auto" w:fill="FFFFFF"/>
      </w:tcPr>
    </w:tblStylePr>
    <w:tblStylePr w:type="lastCol">
      <w:rPr>
        <w:rFonts w:cs="Times New Roman"/>
      </w:rPr>
      <w:tblPr/>
      <w:tcPr>
        <w:tcBorders>
          <w:top w:val="nil"/>
          <w:left w:val="single" w:sz="8" w:space="0" w:color="F392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4BD"/>
      </w:tcPr>
    </w:tblStylePr>
    <w:tblStylePr w:type="band1Horz">
      <w:rPr>
        <w:rFonts w:cs="Times New Roman"/>
      </w:rPr>
      <w:tblPr/>
      <w:tcPr>
        <w:tcBorders>
          <w:top w:val="nil"/>
          <w:bottom w:val="nil"/>
          <w:insideH w:val="nil"/>
          <w:insideV w:val="nil"/>
        </w:tcBorders>
        <w:shd w:val="clear" w:color="auto" w:fill="FFE4BD"/>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ittleresRaster11">
    <w:name w:val="Mittleres Raster 11"/>
    <w:uiPriority w:val="99"/>
    <w:semiHidden/>
    <w:locked/>
    <w:rsid w:val="0070541D"/>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semiHidden/>
    <w:locked/>
    <w:rsid w:val="0070541D"/>
    <w:rPr>
      <w:sz w:val="20"/>
      <w:szCs w:val="20"/>
    </w:rPr>
    <w:tblPr>
      <w:tblStyleRowBandSize w:val="1"/>
      <w:tblStyleColBandSize w:val="1"/>
      <w:tblInd w:w="0" w:type="dxa"/>
      <w:tblBorders>
        <w:top w:val="single" w:sz="8" w:space="0" w:color="242EA8"/>
        <w:left w:val="single" w:sz="8" w:space="0" w:color="242EA8"/>
        <w:bottom w:val="single" w:sz="8" w:space="0" w:color="242EA8"/>
        <w:right w:val="single" w:sz="8" w:space="0" w:color="242EA8"/>
        <w:insideH w:val="single" w:sz="8" w:space="0" w:color="242EA8"/>
        <w:insideV w:val="single" w:sz="8" w:space="0" w:color="242EA8"/>
      </w:tblBorders>
      <w:tblCellMar>
        <w:top w:w="0" w:type="dxa"/>
        <w:left w:w="108" w:type="dxa"/>
        <w:bottom w:w="0" w:type="dxa"/>
        <w:right w:w="108" w:type="dxa"/>
      </w:tblCellMar>
    </w:tblPr>
    <w:tcPr>
      <w:shd w:val="clear" w:color="auto" w:fill="ABB0ED"/>
    </w:tcPr>
    <w:tblStylePr w:type="firstRow">
      <w:rPr>
        <w:rFonts w:cs="Times New Roman"/>
        <w:b/>
        <w:bCs/>
      </w:rPr>
    </w:tblStylePr>
    <w:tblStylePr w:type="lastRow">
      <w:rPr>
        <w:rFonts w:cs="Times New Roman"/>
        <w:b/>
        <w:bCs/>
      </w:rPr>
      <w:tblPr/>
      <w:tcPr>
        <w:tcBorders>
          <w:top w:val="single" w:sz="18" w:space="0" w:color="242EA8"/>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5761DB"/>
      </w:tcPr>
    </w:tblStylePr>
    <w:tblStylePr w:type="band1Horz">
      <w:rPr>
        <w:rFonts w:cs="Times New Roman"/>
      </w:rPr>
      <w:tblPr/>
      <w:tcPr>
        <w:shd w:val="clear" w:color="auto" w:fill="5761DB"/>
      </w:tcPr>
    </w:tblStylePr>
  </w:style>
  <w:style w:type="table" w:styleId="MediumGrid1-Accent2">
    <w:name w:val="Medium Grid 1 Accent 2"/>
    <w:basedOn w:val="TableNormal"/>
    <w:uiPriority w:val="99"/>
    <w:semiHidden/>
    <w:locked/>
    <w:rsid w:val="0070541D"/>
    <w:rPr>
      <w:sz w:val="20"/>
      <w:szCs w:val="20"/>
    </w:rPr>
    <w:tblPr>
      <w:tblStyleRowBandSize w:val="1"/>
      <w:tblStyleColBandSize w:val="1"/>
      <w:tblInd w:w="0" w:type="dxa"/>
      <w:tblBorders>
        <w:top w:val="single" w:sz="8" w:space="0" w:color="3CAEEC"/>
        <w:left w:val="single" w:sz="8" w:space="0" w:color="3CAEEC"/>
        <w:bottom w:val="single" w:sz="8" w:space="0" w:color="3CAEEC"/>
        <w:right w:val="single" w:sz="8" w:space="0" w:color="3CAEEC"/>
        <w:insideH w:val="single" w:sz="8" w:space="0" w:color="3CAEEC"/>
        <w:insideV w:val="single" w:sz="8" w:space="0" w:color="3CAEEC"/>
      </w:tblBorders>
      <w:tblCellMar>
        <w:top w:w="0" w:type="dxa"/>
        <w:left w:w="108" w:type="dxa"/>
        <w:bottom w:w="0" w:type="dxa"/>
        <w:right w:w="108" w:type="dxa"/>
      </w:tblCellMar>
    </w:tblPr>
    <w:tcPr>
      <w:shd w:val="clear" w:color="auto" w:fill="BEE4F8"/>
    </w:tcPr>
    <w:tblStylePr w:type="firstRow">
      <w:rPr>
        <w:rFonts w:cs="Times New Roman"/>
        <w:b/>
        <w:bCs/>
      </w:rPr>
    </w:tblStylePr>
    <w:tblStylePr w:type="lastRow">
      <w:rPr>
        <w:rFonts w:cs="Times New Roman"/>
        <w:b/>
        <w:bCs/>
      </w:rPr>
      <w:tblPr/>
      <w:tcPr>
        <w:tcBorders>
          <w:top w:val="single" w:sz="18" w:space="0" w:color="3CAEEC"/>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7DC9F2"/>
      </w:tcPr>
    </w:tblStylePr>
    <w:tblStylePr w:type="band1Horz">
      <w:rPr>
        <w:rFonts w:cs="Times New Roman"/>
      </w:rPr>
      <w:tblPr/>
      <w:tcPr>
        <w:shd w:val="clear" w:color="auto" w:fill="7DC9F2"/>
      </w:tcPr>
    </w:tblStylePr>
  </w:style>
  <w:style w:type="table" w:styleId="MediumGrid1-Accent3">
    <w:name w:val="Medium Grid 1 Accent 3"/>
    <w:basedOn w:val="TableNormal"/>
    <w:uiPriority w:val="99"/>
    <w:semiHidden/>
    <w:locked/>
    <w:rsid w:val="0070541D"/>
    <w:rPr>
      <w:sz w:val="20"/>
      <w:szCs w:val="20"/>
    </w:rPr>
    <w:tblPr>
      <w:tblStyleRowBandSize w:val="1"/>
      <w:tblStyleColBandSize w:val="1"/>
      <w:tblInd w:w="0" w:type="dxa"/>
      <w:tblBorders>
        <w:top w:val="single" w:sz="8" w:space="0" w:color="AECBEA"/>
        <w:left w:val="single" w:sz="8" w:space="0" w:color="AECBEA"/>
        <w:bottom w:val="single" w:sz="8" w:space="0" w:color="AECBEA"/>
        <w:right w:val="single" w:sz="8" w:space="0" w:color="AECBEA"/>
        <w:insideH w:val="single" w:sz="8" w:space="0" w:color="AECBEA"/>
        <w:insideV w:val="single" w:sz="8" w:space="0" w:color="AECBEA"/>
      </w:tblBorders>
      <w:tblCellMar>
        <w:top w:w="0" w:type="dxa"/>
        <w:left w:w="108" w:type="dxa"/>
        <w:bottom w:w="0" w:type="dxa"/>
        <w:right w:w="108" w:type="dxa"/>
      </w:tblCellMar>
    </w:tblPr>
    <w:tcPr>
      <w:shd w:val="clear" w:color="auto" w:fill="E4EDF8"/>
    </w:tcPr>
    <w:tblStylePr w:type="firstRow">
      <w:rPr>
        <w:rFonts w:cs="Times New Roman"/>
        <w:b/>
        <w:bCs/>
      </w:rPr>
    </w:tblStylePr>
    <w:tblStylePr w:type="lastRow">
      <w:rPr>
        <w:rFonts w:cs="Times New Roman"/>
        <w:b/>
        <w:bCs/>
      </w:rPr>
      <w:tblPr/>
      <w:tcPr>
        <w:tcBorders>
          <w:top w:val="single" w:sz="18" w:space="0" w:color="AECBE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CF1"/>
      </w:tcPr>
    </w:tblStylePr>
    <w:tblStylePr w:type="band1Horz">
      <w:rPr>
        <w:rFonts w:cs="Times New Roman"/>
      </w:rPr>
      <w:tblPr/>
      <w:tcPr>
        <w:shd w:val="clear" w:color="auto" w:fill="C9DCF1"/>
      </w:tcPr>
    </w:tblStylePr>
  </w:style>
  <w:style w:type="table" w:styleId="MediumGrid1-Accent4">
    <w:name w:val="Medium Grid 1 Accent 4"/>
    <w:basedOn w:val="TableNormal"/>
    <w:uiPriority w:val="99"/>
    <w:semiHidden/>
    <w:locked/>
    <w:rsid w:val="0070541D"/>
    <w:rPr>
      <w:sz w:val="20"/>
      <w:szCs w:val="20"/>
    </w:rPr>
    <w:tblPr>
      <w:tblStyleRowBandSize w:val="1"/>
      <w:tblStyleColBandSize w:val="1"/>
      <w:tblInd w:w="0" w:type="dxa"/>
      <w:tblBorders>
        <w:top w:val="single" w:sz="8" w:space="0" w:color="9FE03B"/>
        <w:left w:val="single" w:sz="8" w:space="0" w:color="9FE03B"/>
        <w:bottom w:val="single" w:sz="8" w:space="0" w:color="9FE03B"/>
        <w:right w:val="single" w:sz="8" w:space="0" w:color="9FE03B"/>
        <w:insideH w:val="single" w:sz="8" w:space="0" w:color="9FE03B"/>
        <w:insideV w:val="single" w:sz="8" w:space="0" w:color="9FE03B"/>
      </w:tblBorders>
      <w:tblCellMar>
        <w:top w:w="0" w:type="dxa"/>
        <w:left w:w="108" w:type="dxa"/>
        <w:bottom w:w="0" w:type="dxa"/>
        <w:right w:w="108" w:type="dxa"/>
      </w:tblCellMar>
    </w:tblPr>
    <w:tcPr>
      <w:shd w:val="clear" w:color="auto" w:fill="DFF5BE"/>
    </w:tcPr>
    <w:tblStylePr w:type="firstRow">
      <w:rPr>
        <w:rFonts w:cs="Times New Roman"/>
        <w:b/>
        <w:bCs/>
      </w:rPr>
    </w:tblStylePr>
    <w:tblStylePr w:type="lastRow">
      <w:rPr>
        <w:rFonts w:cs="Times New Roman"/>
        <w:b/>
        <w:bCs/>
      </w:rPr>
      <w:tblPr/>
      <w:tcPr>
        <w:tcBorders>
          <w:top w:val="single" w:sz="18" w:space="0" w:color="9FE03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EB7D"/>
      </w:tcPr>
    </w:tblStylePr>
    <w:tblStylePr w:type="band1Horz">
      <w:rPr>
        <w:rFonts w:cs="Times New Roman"/>
      </w:rPr>
      <w:tblPr/>
      <w:tcPr>
        <w:shd w:val="clear" w:color="auto" w:fill="BFEB7D"/>
      </w:tcPr>
    </w:tblStylePr>
  </w:style>
  <w:style w:type="table" w:styleId="MediumGrid1-Accent5">
    <w:name w:val="Medium Grid 1 Accent 5"/>
    <w:basedOn w:val="TableNormal"/>
    <w:uiPriority w:val="99"/>
    <w:semiHidden/>
    <w:locked/>
    <w:rsid w:val="0070541D"/>
    <w:rPr>
      <w:sz w:val="20"/>
      <w:szCs w:val="20"/>
    </w:rPr>
    <w:tblPr>
      <w:tblStyleRowBandSize w:val="1"/>
      <w:tblStyleColBandSize w:val="1"/>
      <w:tblInd w:w="0" w:type="dxa"/>
      <w:tblBorders>
        <w:top w:val="single" w:sz="8" w:space="0" w:color="DAF91F"/>
        <w:left w:val="single" w:sz="8" w:space="0" w:color="DAF91F"/>
        <w:bottom w:val="single" w:sz="8" w:space="0" w:color="DAF91F"/>
        <w:right w:val="single" w:sz="8" w:space="0" w:color="DAF91F"/>
        <w:insideH w:val="single" w:sz="8" w:space="0" w:color="DAF91F"/>
        <w:insideV w:val="single" w:sz="8" w:space="0" w:color="DAF91F"/>
      </w:tblBorders>
      <w:tblCellMar>
        <w:top w:w="0" w:type="dxa"/>
        <w:left w:w="108" w:type="dxa"/>
        <w:bottom w:w="0" w:type="dxa"/>
        <w:right w:w="108" w:type="dxa"/>
      </w:tblCellMar>
    </w:tblPr>
    <w:tcPr>
      <w:shd w:val="clear" w:color="auto" w:fill="F3FDB5"/>
    </w:tcPr>
    <w:tblStylePr w:type="firstRow">
      <w:rPr>
        <w:rFonts w:cs="Times New Roman"/>
        <w:b/>
        <w:bCs/>
      </w:rPr>
    </w:tblStylePr>
    <w:tblStylePr w:type="lastRow">
      <w:rPr>
        <w:rFonts w:cs="Times New Roman"/>
        <w:b/>
        <w:bCs/>
      </w:rPr>
      <w:tblPr/>
      <w:tcPr>
        <w:tcBorders>
          <w:top w:val="single" w:sz="18" w:space="0" w:color="DAF91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FB6A"/>
      </w:tcPr>
    </w:tblStylePr>
    <w:tblStylePr w:type="band1Horz">
      <w:rPr>
        <w:rFonts w:cs="Times New Roman"/>
      </w:rPr>
      <w:tblPr/>
      <w:tcPr>
        <w:shd w:val="clear" w:color="auto" w:fill="E6FB6A"/>
      </w:tcPr>
    </w:tblStylePr>
  </w:style>
  <w:style w:type="table" w:styleId="MediumGrid1-Accent6">
    <w:name w:val="Medium Grid 1 Accent 6"/>
    <w:basedOn w:val="TableNormal"/>
    <w:uiPriority w:val="99"/>
    <w:semiHidden/>
    <w:locked/>
    <w:rsid w:val="0070541D"/>
    <w:rPr>
      <w:sz w:val="20"/>
      <w:szCs w:val="20"/>
    </w:rPr>
    <w:tblPr>
      <w:tblStyleRowBandSize w:val="1"/>
      <w:tblStyleColBandSize w:val="1"/>
      <w:tblInd w:w="0" w:type="dxa"/>
      <w:tblBorders>
        <w:top w:val="single" w:sz="8" w:space="0" w:color="FFAF37"/>
        <w:left w:val="single" w:sz="8" w:space="0" w:color="FFAF37"/>
        <w:bottom w:val="single" w:sz="8" w:space="0" w:color="FFAF37"/>
        <w:right w:val="single" w:sz="8" w:space="0" w:color="FFAF37"/>
        <w:insideH w:val="single" w:sz="8" w:space="0" w:color="FFAF37"/>
        <w:insideV w:val="single" w:sz="8" w:space="0" w:color="FFAF37"/>
      </w:tblBorders>
      <w:tblCellMar>
        <w:top w:w="0" w:type="dxa"/>
        <w:left w:w="108" w:type="dxa"/>
        <w:bottom w:w="0" w:type="dxa"/>
        <w:right w:w="108" w:type="dxa"/>
      </w:tblCellMar>
    </w:tblPr>
    <w:tcPr>
      <w:shd w:val="clear" w:color="auto" w:fill="FFE4BD"/>
    </w:tcPr>
    <w:tblStylePr w:type="firstRow">
      <w:rPr>
        <w:rFonts w:cs="Times New Roman"/>
        <w:b/>
        <w:bCs/>
      </w:rPr>
    </w:tblStylePr>
    <w:tblStylePr w:type="lastRow">
      <w:rPr>
        <w:rFonts w:cs="Times New Roman"/>
        <w:b/>
        <w:bCs/>
      </w:rPr>
      <w:tblPr/>
      <w:tcPr>
        <w:tcBorders>
          <w:top w:val="single" w:sz="18" w:space="0" w:color="FFAF3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C97A"/>
      </w:tcPr>
    </w:tblStylePr>
    <w:tblStylePr w:type="band1Horz">
      <w:rPr>
        <w:rFonts w:cs="Times New Roman"/>
      </w:rPr>
      <w:tblPr/>
      <w:tcPr>
        <w:shd w:val="clear" w:color="auto" w:fill="FFC97A"/>
      </w:tcPr>
    </w:tblStylePr>
  </w:style>
  <w:style w:type="table" w:customStyle="1" w:styleId="MittleresRaster21">
    <w:name w:val="Mittleres Raster 21"/>
    <w:uiPriority w:val="99"/>
    <w:semiHidden/>
    <w:locked/>
    <w:rsid w:val="0070541D"/>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semiHidden/>
    <w:locked/>
    <w:rsid w:val="0070541D"/>
    <w:rPr>
      <w:color w:val="000000"/>
      <w:sz w:val="20"/>
      <w:szCs w:val="20"/>
    </w:rPr>
    <w:tblPr>
      <w:tblStyleRowBandSize w:val="1"/>
      <w:tblStyleColBandSize w:val="1"/>
      <w:tblInd w:w="0" w:type="dxa"/>
      <w:tblBorders>
        <w:top w:val="single" w:sz="8" w:space="0" w:color="121754"/>
        <w:left w:val="single" w:sz="8" w:space="0" w:color="121754"/>
        <w:bottom w:val="single" w:sz="8" w:space="0" w:color="121754"/>
        <w:right w:val="single" w:sz="8" w:space="0" w:color="121754"/>
        <w:insideH w:val="single" w:sz="8" w:space="0" w:color="121754"/>
        <w:insideV w:val="single" w:sz="8" w:space="0" w:color="121754"/>
      </w:tblBorders>
      <w:tblCellMar>
        <w:top w:w="0" w:type="dxa"/>
        <w:left w:w="108" w:type="dxa"/>
        <w:bottom w:w="0" w:type="dxa"/>
        <w:right w:w="108" w:type="dxa"/>
      </w:tblCellMar>
    </w:tblPr>
    <w:tcPr>
      <w:shd w:val="clear" w:color="auto" w:fill="ABB0ED"/>
    </w:tcPr>
    <w:tblStylePr w:type="firstRow">
      <w:rPr>
        <w:rFonts w:cs="Times New Roman"/>
        <w:b/>
        <w:bCs/>
        <w:color w:val="000000"/>
      </w:rPr>
      <w:tblPr/>
      <w:tcPr>
        <w:shd w:val="clear" w:color="auto" w:fill="DEDF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BBBFF0"/>
      </w:tcPr>
    </w:tblStylePr>
    <w:tblStylePr w:type="band1Vert">
      <w:rPr>
        <w:rFonts w:cs="Times New Roman"/>
      </w:rPr>
      <w:tblPr/>
      <w:tcPr>
        <w:shd w:val="clear" w:color="auto" w:fill="5761DB"/>
      </w:tcPr>
    </w:tblStylePr>
    <w:tblStylePr w:type="band1Horz">
      <w:rPr>
        <w:rFonts w:cs="Times New Roman"/>
      </w:rPr>
      <w:tblPr/>
      <w:tcPr>
        <w:tcBorders>
          <w:insideH w:val="single" w:sz="6" w:space="0" w:color="121754"/>
          <w:insideV w:val="single" w:sz="6" w:space="0" w:color="121754"/>
        </w:tcBorders>
        <w:shd w:val="clear" w:color="auto" w:fill="5761DB"/>
      </w:tcPr>
    </w:tblStylePr>
    <w:tblStylePr w:type="nwCell">
      <w:rPr>
        <w:rFonts w:cs="Times New Roman"/>
      </w:rPr>
      <w:tblPr/>
      <w:tcPr>
        <w:shd w:val="clear" w:color="auto" w:fill="FFFFFF"/>
      </w:tcPr>
    </w:tblStylePr>
  </w:style>
  <w:style w:type="table" w:styleId="MediumGrid2-Accent2">
    <w:name w:val="Medium Grid 2 Accent 2"/>
    <w:basedOn w:val="TableNormal"/>
    <w:uiPriority w:val="99"/>
    <w:semiHidden/>
    <w:locked/>
    <w:rsid w:val="0070541D"/>
    <w:rPr>
      <w:color w:val="000000"/>
      <w:sz w:val="20"/>
      <w:szCs w:val="20"/>
    </w:rPr>
    <w:tblPr>
      <w:tblStyleRowBandSize w:val="1"/>
      <w:tblStyleColBandSize w:val="1"/>
      <w:tblInd w:w="0" w:type="dxa"/>
      <w:tblBorders>
        <w:top w:val="single" w:sz="8" w:space="0" w:color="148DCD"/>
        <w:left w:val="single" w:sz="8" w:space="0" w:color="148DCD"/>
        <w:bottom w:val="single" w:sz="8" w:space="0" w:color="148DCD"/>
        <w:right w:val="single" w:sz="8" w:space="0" w:color="148DCD"/>
        <w:insideH w:val="single" w:sz="8" w:space="0" w:color="148DCD"/>
        <w:insideV w:val="single" w:sz="8" w:space="0" w:color="148DCD"/>
      </w:tblBorders>
      <w:tblCellMar>
        <w:top w:w="0" w:type="dxa"/>
        <w:left w:w="108" w:type="dxa"/>
        <w:bottom w:w="0" w:type="dxa"/>
        <w:right w:w="108" w:type="dxa"/>
      </w:tblCellMar>
    </w:tblPr>
    <w:tcPr>
      <w:shd w:val="clear" w:color="auto" w:fill="BEE4F8"/>
    </w:tcPr>
    <w:tblStylePr w:type="firstRow">
      <w:rPr>
        <w:rFonts w:cs="Times New Roman"/>
        <w:b/>
        <w:bCs/>
        <w:color w:val="000000"/>
      </w:rPr>
      <w:tblPr/>
      <w:tcPr>
        <w:shd w:val="clear" w:color="auto" w:fill="E5F4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BE9FA"/>
      </w:tcPr>
    </w:tblStylePr>
    <w:tblStylePr w:type="band1Vert">
      <w:rPr>
        <w:rFonts w:cs="Times New Roman"/>
      </w:rPr>
      <w:tblPr/>
      <w:tcPr>
        <w:shd w:val="clear" w:color="auto" w:fill="7DC9F2"/>
      </w:tcPr>
    </w:tblStylePr>
    <w:tblStylePr w:type="band1Horz">
      <w:rPr>
        <w:rFonts w:cs="Times New Roman"/>
      </w:rPr>
      <w:tblPr/>
      <w:tcPr>
        <w:tcBorders>
          <w:insideH w:val="single" w:sz="6" w:space="0" w:color="148DCD"/>
          <w:insideV w:val="single" w:sz="6" w:space="0" w:color="148DCD"/>
        </w:tcBorders>
        <w:shd w:val="clear" w:color="auto" w:fill="7DC9F2"/>
      </w:tcPr>
    </w:tblStylePr>
    <w:tblStylePr w:type="nwCell">
      <w:rPr>
        <w:rFonts w:cs="Times New Roman"/>
      </w:rPr>
      <w:tblPr/>
      <w:tcPr>
        <w:shd w:val="clear" w:color="auto" w:fill="FFFFFF"/>
      </w:tcPr>
    </w:tblStylePr>
  </w:style>
  <w:style w:type="table" w:styleId="MediumGrid2-Accent3">
    <w:name w:val="Medium Grid 2 Accent 3"/>
    <w:basedOn w:val="TableNormal"/>
    <w:uiPriority w:val="99"/>
    <w:semiHidden/>
    <w:locked/>
    <w:rsid w:val="0070541D"/>
    <w:rPr>
      <w:color w:val="000000"/>
      <w:sz w:val="20"/>
      <w:szCs w:val="20"/>
    </w:rPr>
    <w:tblPr>
      <w:tblStyleRowBandSize w:val="1"/>
      <w:tblStyleColBandSize w:val="1"/>
      <w:tblInd w:w="0" w:type="dxa"/>
      <w:tblBorders>
        <w:top w:val="single" w:sz="8" w:space="0" w:color="94BAE3"/>
        <w:left w:val="single" w:sz="8" w:space="0" w:color="94BAE3"/>
        <w:bottom w:val="single" w:sz="8" w:space="0" w:color="94BAE3"/>
        <w:right w:val="single" w:sz="8" w:space="0" w:color="94BAE3"/>
        <w:insideH w:val="single" w:sz="8" w:space="0" w:color="94BAE3"/>
        <w:insideV w:val="single" w:sz="8" w:space="0" w:color="94BAE3"/>
      </w:tblBorders>
      <w:tblCellMar>
        <w:top w:w="0" w:type="dxa"/>
        <w:left w:w="108" w:type="dxa"/>
        <w:bottom w:w="0" w:type="dxa"/>
        <w:right w:w="108" w:type="dxa"/>
      </w:tblCellMar>
    </w:tblPr>
    <w:tcPr>
      <w:shd w:val="clear" w:color="auto" w:fill="E4EDF8"/>
    </w:tcPr>
    <w:tblStylePr w:type="firstRow">
      <w:rPr>
        <w:rFonts w:cs="Times New Roman"/>
        <w:b/>
        <w:bCs/>
        <w:color w:val="000000"/>
      </w:rPr>
      <w:tblPr/>
      <w:tcPr>
        <w:shd w:val="clear" w:color="auto" w:fill="F4F8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9F1F9"/>
      </w:tcPr>
    </w:tblStylePr>
    <w:tblStylePr w:type="band1Vert">
      <w:rPr>
        <w:rFonts w:cs="Times New Roman"/>
      </w:rPr>
      <w:tblPr/>
      <w:tcPr>
        <w:shd w:val="clear" w:color="auto" w:fill="C9DCF1"/>
      </w:tcPr>
    </w:tblStylePr>
    <w:tblStylePr w:type="band1Horz">
      <w:rPr>
        <w:rFonts w:cs="Times New Roman"/>
      </w:rPr>
      <w:tblPr/>
      <w:tcPr>
        <w:tcBorders>
          <w:insideH w:val="single" w:sz="6" w:space="0" w:color="94BAE3"/>
          <w:insideV w:val="single" w:sz="6" w:space="0" w:color="94BAE3"/>
        </w:tcBorders>
        <w:shd w:val="clear" w:color="auto" w:fill="C9DCF1"/>
      </w:tcPr>
    </w:tblStylePr>
    <w:tblStylePr w:type="nwCell">
      <w:rPr>
        <w:rFonts w:cs="Times New Roman"/>
      </w:rPr>
      <w:tblPr/>
      <w:tcPr>
        <w:shd w:val="clear" w:color="auto" w:fill="FFFFFF"/>
      </w:tcPr>
    </w:tblStylePr>
  </w:style>
  <w:style w:type="table" w:styleId="MediumGrid2-Accent4">
    <w:name w:val="Medium Grid 2 Accent 4"/>
    <w:basedOn w:val="TableNormal"/>
    <w:uiPriority w:val="99"/>
    <w:semiHidden/>
    <w:locked/>
    <w:rsid w:val="0070541D"/>
    <w:rPr>
      <w:color w:val="000000"/>
      <w:sz w:val="20"/>
      <w:szCs w:val="20"/>
    </w:rPr>
    <w:tblPr>
      <w:tblStyleRowBandSize w:val="1"/>
      <w:tblStyleColBandSize w:val="1"/>
      <w:tblInd w:w="0" w:type="dxa"/>
      <w:tblBorders>
        <w:top w:val="single" w:sz="8" w:space="0" w:color="79B51C"/>
        <w:left w:val="single" w:sz="8" w:space="0" w:color="79B51C"/>
        <w:bottom w:val="single" w:sz="8" w:space="0" w:color="79B51C"/>
        <w:right w:val="single" w:sz="8" w:space="0" w:color="79B51C"/>
        <w:insideH w:val="single" w:sz="8" w:space="0" w:color="79B51C"/>
        <w:insideV w:val="single" w:sz="8" w:space="0" w:color="79B51C"/>
      </w:tblBorders>
      <w:tblCellMar>
        <w:top w:w="0" w:type="dxa"/>
        <w:left w:w="108" w:type="dxa"/>
        <w:bottom w:w="0" w:type="dxa"/>
        <w:right w:w="108" w:type="dxa"/>
      </w:tblCellMar>
    </w:tblPr>
    <w:tcPr>
      <w:shd w:val="clear" w:color="auto" w:fill="DFF5BE"/>
    </w:tcPr>
    <w:tblStylePr w:type="firstRow">
      <w:rPr>
        <w:rFonts w:cs="Times New Roman"/>
        <w:b/>
        <w:bCs/>
        <w:color w:val="000000"/>
      </w:rPr>
      <w:tblPr/>
      <w:tcPr>
        <w:shd w:val="clear" w:color="auto" w:fill="F2FBE5"/>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F7CA"/>
      </w:tcPr>
    </w:tblStylePr>
    <w:tblStylePr w:type="band1Vert">
      <w:rPr>
        <w:rFonts w:cs="Times New Roman"/>
      </w:rPr>
      <w:tblPr/>
      <w:tcPr>
        <w:shd w:val="clear" w:color="auto" w:fill="BFEB7D"/>
      </w:tcPr>
    </w:tblStylePr>
    <w:tblStylePr w:type="band1Horz">
      <w:rPr>
        <w:rFonts w:cs="Times New Roman"/>
      </w:rPr>
      <w:tblPr/>
      <w:tcPr>
        <w:tcBorders>
          <w:insideH w:val="single" w:sz="6" w:space="0" w:color="79B51C"/>
          <w:insideV w:val="single" w:sz="6" w:space="0" w:color="79B51C"/>
        </w:tcBorders>
        <w:shd w:val="clear" w:color="auto" w:fill="BFEB7D"/>
      </w:tcPr>
    </w:tblStylePr>
    <w:tblStylePr w:type="nwCell">
      <w:rPr>
        <w:rFonts w:cs="Times New Roman"/>
      </w:rPr>
      <w:tblPr/>
      <w:tcPr>
        <w:shd w:val="clear" w:color="auto" w:fill="FFFFFF"/>
      </w:tcPr>
    </w:tblStylePr>
  </w:style>
  <w:style w:type="table" w:styleId="MediumGrid2-Accent5">
    <w:name w:val="Medium Grid 2 Accent 5"/>
    <w:basedOn w:val="TableNormal"/>
    <w:uiPriority w:val="99"/>
    <w:semiHidden/>
    <w:locked/>
    <w:rsid w:val="0070541D"/>
    <w:rPr>
      <w:color w:val="000000"/>
      <w:sz w:val="20"/>
      <w:szCs w:val="20"/>
    </w:rPr>
    <w:tblPr>
      <w:tblStyleRowBandSize w:val="1"/>
      <w:tblStyleColBandSize w:val="1"/>
      <w:tblInd w:w="0" w:type="dxa"/>
      <w:tblBorders>
        <w:top w:val="single" w:sz="8" w:space="0" w:color="ACC705"/>
        <w:left w:val="single" w:sz="8" w:space="0" w:color="ACC705"/>
        <w:bottom w:val="single" w:sz="8" w:space="0" w:color="ACC705"/>
        <w:right w:val="single" w:sz="8" w:space="0" w:color="ACC705"/>
        <w:insideH w:val="single" w:sz="8" w:space="0" w:color="ACC705"/>
        <w:insideV w:val="single" w:sz="8" w:space="0" w:color="ACC705"/>
      </w:tblBorders>
      <w:tblCellMar>
        <w:top w:w="0" w:type="dxa"/>
        <w:left w:w="108" w:type="dxa"/>
        <w:bottom w:w="0" w:type="dxa"/>
        <w:right w:w="108" w:type="dxa"/>
      </w:tblCellMar>
    </w:tblPr>
    <w:tcPr>
      <w:shd w:val="clear" w:color="auto" w:fill="F3FDB5"/>
    </w:tcPr>
    <w:tblStylePr w:type="firstRow">
      <w:rPr>
        <w:rFonts w:cs="Times New Roman"/>
        <w:b/>
        <w:bCs/>
        <w:color w:val="000000"/>
      </w:rPr>
      <w:tblPr/>
      <w:tcPr>
        <w:shd w:val="clear" w:color="auto" w:fill="FAFEE1"/>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5FDC3"/>
      </w:tcPr>
    </w:tblStylePr>
    <w:tblStylePr w:type="band1Vert">
      <w:rPr>
        <w:rFonts w:cs="Times New Roman"/>
      </w:rPr>
      <w:tblPr/>
      <w:tcPr>
        <w:shd w:val="clear" w:color="auto" w:fill="E6FB6A"/>
      </w:tcPr>
    </w:tblStylePr>
    <w:tblStylePr w:type="band1Horz">
      <w:rPr>
        <w:rFonts w:cs="Times New Roman"/>
      </w:rPr>
      <w:tblPr/>
      <w:tcPr>
        <w:tcBorders>
          <w:insideH w:val="single" w:sz="6" w:space="0" w:color="ACC705"/>
          <w:insideV w:val="single" w:sz="6" w:space="0" w:color="ACC705"/>
        </w:tcBorders>
        <w:shd w:val="clear" w:color="auto" w:fill="E6FB6A"/>
      </w:tcPr>
    </w:tblStylePr>
    <w:tblStylePr w:type="nwCell">
      <w:rPr>
        <w:rFonts w:cs="Times New Roman"/>
      </w:rPr>
      <w:tblPr/>
      <w:tcPr>
        <w:shd w:val="clear" w:color="auto" w:fill="FFFFFF"/>
      </w:tcPr>
    </w:tblStylePr>
  </w:style>
  <w:style w:type="table" w:styleId="MediumGrid2-Accent6">
    <w:name w:val="Medium Grid 2 Accent 6"/>
    <w:basedOn w:val="TableNormal"/>
    <w:uiPriority w:val="99"/>
    <w:semiHidden/>
    <w:locked/>
    <w:rsid w:val="0070541D"/>
    <w:rPr>
      <w:color w:val="000000"/>
      <w:sz w:val="20"/>
      <w:szCs w:val="20"/>
    </w:rPr>
    <w:tblPr>
      <w:tblStyleRowBandSize w:val="1"/>
      <w:tblStyleColBandSize w:val="1"/>
      <w:tblInd w:w="0" w:type="dxa"/>
      <w:tblBorders>
        <w:top w:val="single" w:sz="8" w:space="0" w:color="F39200"/>
        <w:left w:val="single" w:sz="8" w:space="0" w:color="F39200"/>
        <w:bottom w:val="single" w:sz="8" w:space="0" w:color="F39200"/>
        <w:right w:val="single" w:sz="8" w:space="0" w:color="F39200"/>
        <w:insideH w:val="single" w:sz="8" w:space="0" w:color="F39200"/>
        <w:insideV w:val="single" w:sz="8" w:space="0" w:color="F39200"/>
      </w:tblBorders>
      <w:tblCellMar>
        <w:top w:w="0" w:type="dxa"/>
        <w:left w:w="108" w:type="dxa"/>
        <w:bottom w:w="0" w:type="dxa"/>
        <w:right w:w="108" w:type="dxa"/>
      </w:tblCellMar>
    </w:tblPr>
    <w:tcPr>
      <w:shd w:val="clear" w:color="auto" w:fill="FFE4BD"/>
    </w:tcPr>
    <w:tblStylePr w:type="firstRow">
      <w:rPr>
        <w:rFonts w:cs="Times New Roman"/>
        <w:b/>
        <w:bCs/>
        <w:color w:val="000000"/>
      </w:rPr>
      <w:tblPr/>
      <w:tcPr>
        <w:shd w:val="clear" w:color="auto" w:fill="FFF4E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E9C9"/>
      </w:tcPr>
    </w:tblStylePr>
    <w:tblStylePr w:type="band1Vert">
      <w:rPr>
        <w:rFonts w:cs="Times New Roman"/>
      </w:rPr>
      <w:tblPr/>
      <w:tcPr>
        <w:shd w:val="clear" w:color="auto" w:fill="FFC97A"/>
      </w:tcPr>
    </w:tblStylePr>
    <w:tblStylePr w:type="band1Horz">
      <w:rPr>
        <w:rFonts w:cs="Times New Roman"/>
      </w:rPr>
      <w:tblPr/>
      <w:tcPr>
        <w:tcBorders>
          <w:insideH w:val="single" w:sz="6" w:space="0" w:color="F39200"/>
          <w:insideV w:val="single" w:sz="6" w:space="0" w:color="F39200"/>
        </w:tcBorders>
        <w:shd w:val="clear" w:color="auto" w:fill="FFC97A"/>
      </w:tcPr>
    </w:tblStylePr>
    <w:tblStylePr w:type="nwCell">
      <w:rPr>
        <w:rFonts w:cs="Times New Roman"/>
      </w:rPr>
      <w:tblPr/>
      <w:tcPr>
        <w:shd w:val="clear" w:color="auto" w:fill="FFFFFF"/>
      </w:tcPr>
    </w:tblStylePr>
  </w:style>
  <w:style w:type="table" w:customStyle="1" w:styleId="MittleresRaster31">
    <w:name w:val="Mittleres Raster 31"/>
    <w:uiPriority w:val="99"/>
    <w:semiHidden/>
    <w:locked/>
    <w:rsid w:val="0070541D"/>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semiHidden/>
    <w:locked/>
    <w:rsid w:val="0070541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ABB0E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2175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2175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12175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12175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5761D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761DB"/>
      </w:tcPr>
    </w:tblStylePr>
  </w:style>
  <w:style w:type="table" w:styleId="MediumGrid3-Accent3">
    <w:name w:val="Medium Grid 3 Accent 3"/>
    <w:basedOn w:val="TableNormal"/>
    <w:uiPriority w:val="99"/>
    <w:semiHidden/>
    <w:locked/>
    <w:rsid w:val="0070541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4EDF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4BAE3"/>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4BAE3"/>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4BAE3"/>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4BAE3"/>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9DCF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DCF1"/>
      </w:tcPr>
    </w:tblStylePr>
  </w:style>
  <w:style w:type="table" w:styleId="MediumGrid3-Accent4">
    <w:name w:val="Medium Grid 3 Accent 4"/>
    <w:basedOn w:val="TableNormal"/>
    <w:uiPriority w:val="99"/>
    <w:semiHidden/>
    <w:locked/>
    <w:rsid w:val="0070541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F5B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9B51C"/>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9B51C"/>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9B51C"/>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9B51C"/>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EB7D"/>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EB7D"/>
      </w:tcPr>
    </w:tblStylePr>
  </w:style>
  <w:style w:type="table" w:styleId="MediumGrid3-Accent5">
    <w:name w:val="Medium Grid 3 Accent 5"/>
    <w:basedOn w:val="TableNormal"/>
    <w:uiPriority w:val="99"/>
    <w:semiHidden/>
    <w:locked/>
    <w:rsid w:val="0070541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3FDB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CC70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CC70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CC70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CC70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6FB6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6FB6A"/>
      </w:tcPr>
    </w:tblStylePr>
  </w:style>
  <w:style w:type="table" w:styleId="MediumGrid3-Accent6">
    <w:name w:val="Medium Grid 3 Accent 6"/>
    <w:basedOn w:val="TableNormal"/>
    <w:uiPriority w:val="99"/>
    <w:semiHidden/>
    <w:locked/>
    <w:rsid w:val="0070541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4B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392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392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392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392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C97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C97A"/>
      </w:tcPr>
    </w:tblStylePr>
  </w:style>
  <w:style w:type="paragraph" w:styleId="Subtitle">
    <w:name w:val="Subtitle"/>
    <w:basedOn w:val="Normal"/>
    <w:next w:val="Normal"/>
    <w:link w:val="SubtitleChar"/>
    <w:uiPriority w:val="99"/>
    <w:qFormat/>
    <w:rsid w:val="0070541D"/>
    <w:pPr>
      <w:numPr>
        <w:ilvl w:val="1"/>
      </w:numPr>
    </w:pPr>
    <w:rPr>
      <w:i/>
      <w:iCs/>
      <w:color w:val="121754"/>
      <w:spacing w:val="15"/>
      <w:sz w:val="24"/>
      <w:szCs w:val="24"/>
    </w:rPr>
  </w:style>
  <w:style w:type="character" w:customStyle="1" w:styleId="SubtitleChar">
    <w:name w:val="Subtitle Char"/>
    <w:basedOn w:val="DefaultParagraphFont"/>
    <w:link w:val="Subtitle"/>
    <w:uiPriority w:val="99"/>
    <w:semiHidden/>
    <w:locked/>
    <w:rsid w:val="0070541D"/>
    <w:rPr>
      <w:rFonts w:ascii="Arial" w:hAnsi="Arial" w:cs="Times New Roman"/>
      <w:i/>
      <w:iCs/>
      <w:color w:val="121754"/>
      <w:spacing w:val="15"/>
      <w:sz w:val="24"/>
      <w:szCs w:val="24"/>
    </w:rPr>
  </w:style>
  <w:style w:type="paragraph" w:customStyle="1" w:styleId="GFABulletedLists2">
    <w:name w:val="GFA Bulleted Lists 2"/>
    <w:basedOn w:val="GFABulletedLists1"/>
    <w:link w:val="GFABulletedLists2Zchn"/>
    <w:uiPriority w:val="99"/>
    <w:semiHidden/>
    <w:rsid w:val="0070541D"/>
    <w:pPr>
      <w:numPr>
        <w:ilvl w:val="1"/>
      </w:numPr>
      <w:tabs>
        <w:tab w:val="clear" w:pos="643"/>
      </w:tabs>
      <w:ind w:left="568" w:hanging="432"/>
    </w:pPr>
  </w:style>
  <w:style w:type="paragraph" w:customStyle="1" w:styleId="GFABulletedLists3">
    <w:name w:val="GFA Bulleted Lists 3"/>
    <w:basedOn w:val="GFABulletedLists1"/>
    <w:link w:val="GFABulletedLists3Zchn"/>
    <w:uiPriority w:val="99"/>
    <w:semiHidden/>
    <w:rsid w:val="0070541D"/>
    <w:pPr>
      <w:numPr>
        <w:ilvl w:val="2"/>
      </w:numPr>
      <w:tabs>
        <w:tab w:val="clear" w:pos="643"/>
      </w:tabs>
      <w:ind w:left="852" w:hanging="504"/>
    </w:pPr>
  </w:style>
  <w:style w:type="character" w:customStyle="1" w:styleId="GFABulletedLists2Zchn">
    <w:name w:val="GFA Bulleted Lists 2 Zchn"/>
    <w:basedOn w:val="GFABulletedLists1Zchn"/>
    <w:link w:val="GFABulletedLists2"/>
    <w:uiPriority w:val="99"/>
    <w:semiHidden/>
    <w:locked/>
    <w:rsid w:val="0070541D"/>
  </w:style>
  <w:style w:type="paragraph" w:customStyle="1" w:styleId="GFABulletedLists4">
    <w:name w:val="GFA Bulleted Lists 4"/>
    <w:basedOn w:val="GFABulletedLists1"/>
    <w:link w:val="GFABulletedLists4Zchn"/>
    <w:uiPriority w:val="99"/>
    <w:semiHidden/>
    <w:rsid w:val="0070541D"/>
    <w:pPr>
      <w:numPr>
        <w:ilvl w:val="3"/>
      </w:numPr>
      <w:tabs>
        <w:tab w:val="clear" w:pos="643"/>
      </w:tabs>
      <w:ind w:left="1136" w:hanging="648"/>
    </w:pPr>
  </w:style>
  <w:style w:type="character" w:customStyle="1" w:styleId="GFABulletedLists3Zchn">
    <w:name w:val="GFA Bulleted Lists 3 Zchn"/>
    <w:basedOn w:val="GFABulletedLists1Zchn"/>
    <w:link w:val="GFABulletedLists3"/>
    <w:uiPriority w:val="99"/>
    <w:semiHidden/>
    <w:locked/>
    <w:rsid w:val="0070541D"/>
  </w:style>
  <w:style w:type="paragraph" w:customStyle="1" w:styleId="GFABulletedLists5">
    <w:name w:val="GFA Bulleted Lists 5"/>
    <w:basedOn w:val="GFABulletedLists1"/>
    <w:link w:val="GFABulletedLists5Zchn"/>
    <w:uiPriority w:val="99"/>
    <w:semiHidden/>
    <w:rsid w:val="0070541D"/>
    <w:pPr>
      <w:numPr>
        <w:ilvl w:val="4"/>
      </w:numPr>
      <w:tabs>
        <w:tab w:val="clear" w:pos="643"/>
      </w:tabs>
      <w:ind w:left="1420" w:hanging="792"/>
    </w:pPr>
  </w:style>
  <w:style w:type="character" w:customStyle="1" w:styleId="GFABulletedLists4Zchn">
    <w:name w:val="GFA Bulleted Lists 4 Zchn"/>
    <w:basedOn w:val="GFABulletedLists1Zchn"/>
    <w:link w:val="GFABulletedLists4"/>
    <w:uiPriority w:val="99"/>
    <w:semiHidden/>
    <w:locked/>
    <w:rsid w:val="0070541D"/>
  </w:style>
  <w:style w:type="paragraph" w:customStyle="1" w:styleId="GFABulletedLists6">
    <w:name w:val="GFA Bulleted Lists 6"/>
    <w:basedOn w:val="GFABulletedLists1"/>
    <w:link w:val="GFABulletedLists6Zchn"/>
    <w:uiPriority w:val="99"/>
    <w:semiHidden/>
    <w:rsid w:val="0070541D"/>
    <w:pPr>
      <w:numPr>
        <w:ilvl w:val="5"/>
      </w:numPr>
      <w:tabs>
        <w:tab w:val="clear" w:pos="643"/>
      </w:tabs>
      <w:ind w:left="1701" w:hanging="281"/>
    </w:pPr>
  </w:style>
  <w:style w:type="character" w:customStyle="1" w:styleId="GFABulletedLists5Zchn">
    <w:name w:val="GFA Bulleted Lists 5 Zchn"/>
    <w:basedOn w:val="GFABulletedLists1Zchn"/>
    <w:link w:val="GFABulletedLists5"/>
    <w:uiPriority w:val="99"/>
    <w:semiHidden/>
    <w:locked/>
    <w:rsid w:val="0070541D"/>
  </w:style>
  <w:style w:type="paragraph" w:customStyle="1" w:styleId="GFABulletedLists7">
    <w:name w:val="GFA Bulleted Lists 7"/>
    <w:basedOn w:val="GFABulletedLists1"/>
    <w:link w:val="GFABulletedLists7Zchn"/>
    <w:uiPriority w:val="99"/>
    <w:semiHidden/>
    <w:rsid w:val="0070541D"/>
    <w:pPr>
      <w:numPr>
        <w:ilvl w:val="6"/>
      </w:numPr>
      <w:tabs>
        <w:tab w:val="clear" w:pos="643"/>
      </w:tabs>
      <w:ind w:left="1985" w:hanging="1080"/>
    </w:pPr>
  </w:style>
  <w:style w:type="character" w:customStyle="1" w:styleId="GFABulletedLists6Zchn">
    <w:name w:val="GFA Bulleted Lists 6 Zchn"/>
    <w:basedOn w:val="GFABulletedLists1Zchn"/>
    <w:link w:val="GFABulletedLists6"/>
    <w:uiPriority w:val="99"/>
    <w:semiHidden/>
    <w:locked/>
    <w:rsid w:val="0070541D"/>
  </w:style>
  <w:style w:type="paragraph" w:customStyle="1" w:styleId="GFABulletedLists8">
    <w:name w:val="GFA Bulleted Lists 8"/>
    <w:basedOn w:val="GFABulletedLists1"/>
    <w:link w:val="GFABulletedLists8Zchn"/>
    <w:uiPriority w:val="99"/>
    <w:semiHidden/>
    <w:rsid w:val="0070541D"/>
    <w:pPr>
      <w:numPr>
        <w:ilvl w:val="7"/>
      </w:numPr>
      <w:tabs>
        <w:tab w:val="clear" w:pos="643"/>
      </w:tabs>
      <w:ind w:left="2268" w:hanging="283"/>
    </w:pPr>
  </w:style>
  <w:style w:type="character" w:customStyle="1" w:styleId="GFABulletedLists7Zchn">
    <w:name w:val="GFA Bulleted Lists 7 Zchn"/>
    <w:basedOn w:val="GFABulletedLists1Zchn"/>
    <w:link w:val="GFABulletedLists7"/>
    <w:uiPriority w:val="99"/>
    <w:semiHidden/>
    <w:locked/>
    <w:rsid w:val="0070541D"/>
  </w:style>
  <w:style w:type="paragraph" w:customStyle="1" w:styleId="GFABulletedLists9">
    <w:name w:val="GFA Bulleted Lists 9"/>
    <w:basedOn w:val="GFABulletedLists1"/>
    <w:link w:val="GFABulletedLists9Zchn"/>
    <w:uiPriority w:val="99"/>
    <w:semiHidden/>
    <w:rsid w:val="0070541D"/>
    <w:pPr>
      <w:numPr>
        <w:ilvl w:val="8"/>
      </w:numPr>
      <w:tabs>
        <w:tab w:val="clear" w:pos="643"/>
      </w:tabs>
      <w:ind w:left="2268" w:firstLine="0"/>
    </w:pPr>
  </w:style>
  <w:style w:type="character" w:customStyle="1" w:styleId="GFABulletedLists8Zchn">
    <w:name w:val="GFA Bulleted Lists 8 Zchn"/>
    <w:basedOn w:val="GFABulletedLists1Zchn"/>
    <w:link w:val="GFABulletedLists8"/>
    <w:uiPriority w:val="99"/>
    <w:semiHidden/>
    <w:locked/>
    <w:rsid w:val="0070541D"/>
  </w:style>
  <w:style w:type="character" w:customStyle="1" w:styleId="GFABulletedLists9Zchn">
    <w:name w:val="GFA Bulleted Lists 9 Zchn"/>
    <w:basedOn w:val="GFABulletedLists1Zchn"/>
    <w:link w:val="GFABulletedLists9"/>
    <w:uiPriority w:val="99"/>
    <w:semiHidden/>
    <w:locked/>
    <w:rsid w:val="0070541D"/>
  </w:style>
  <w:style w:type="paragraph" w:customStyle="1" w:styleId="GFANumberedLists2">
    <w:name w:val="GFA Numbered Lists 2"/>
    <w:basedOn w:val="GFANumberedLists1"/>
    <w:link w:val="GFANumberedLists2Zchn"/>
    <w:uiPriority w:val="99"/>
    <w:semiHidden/>
    <w:rsid w:val="0070541D"/>
    <w:pPr>
      <w:numPr>
        <w:ilvl w:val="1"/>
      </w:numPr>
      <w:tabs>
        <w:tab w:val="clear" w:pos="926"/>
        <w:tab w:val="num" w:pos="568"/>
      </w:tabs>
      <w:ind w:left="568" w:hanging="284"/>
    </w:pPr>
  </w:style>
  <w:style w:type="paragraph" w:customStyle="1" w:styleId="GFANumberedLists3">
    <w:name w:val="GFA Numbered Lists 3"/>
    <w:basedOn w:val="GFANumberedLists1"/>
    <w:link w:val="GFANumberedLists3Zchn"/>
    <w:uiPriority w:val="99"/>
    <w:semiHidden/>
    <w:rsid w:val="0070541D"/>
    <w:pPr>
      <w:numPr>
        <w:ilvl w:val="2"/>
      </w:numPr>
      <w:tabs>
        <w:tab w:val="clear" w:pos="926"/>
        <w:tab w:val="num" w:pos="852"/>
      </w:tabs>
      <w:ind w:left="852" w:hanging="284"/>
    </w:pPr>
  </w:style>
  <w:style w:type="character" w:customStyle="1" w:styleId="GFANumberedLists2Zchn">
    <w:name w:val="GFA Numbered Lists 2 Zchn"/>
    <w:basedOn w:val="GFANumberedLists1Zchn"/>
    <w:link w:val="GFANumberedLists2"/>
    <w:uiPriority w:val="99"/>
    <w:semiHidden/>
    <w:locked/>
    <w:rsid w:val="0070541D"/>
  </w:style>
  <w:style w:type="paragraph" w:customStyle="1" w:styleId="GFANumberedLists4">
    <w:name w:val="GFA Numbered Lists 4"/>
    <w:basedOn w:val="GFANumberedLists1"/>
    <w:link w:val="GFANumberedLists4Zchn"/>
    <w:uiPriority w:val="99"/>
    <w:semiHidden/>
    <w:rsid w:val="0070541D"/>
    <w:pPr>
      <w:numPr>
        <w:ilvl w:val="3"/>
      </w:numPr>
      <w:tabs>
        <w:tab w:val="clear" w:pos="926"/>
        <w:tab w:val="num" w:pos="1136"/>
      </w:tabs>
      <w:ind w:left="1136" w:hanging="284"/>
    </w:pPr>
  </w:style>
  <w:style w:type="character" w:customStyle="1" w:styleId="GFANumberedLists3Zchn">
    <w:name w:val="GFA Numbered Lists 3 Zchn"/>
    <w:basedOn w:val="GFANumberedLists1Zchn"/>
    <w:link w:val="GFANumberedLists3"/>
    <w:uiPriority w:val="99"/>
    <w:semiHidden/>
    <w:locked/>
    <w:rsid w:val="0070541D"/>
  </w:style>
  <w:style w:type="paragraph" w:customStyle="1" w:styleId="GFANumberedLists5">
    <w:name w:val="GFA Numbered Lists 5"/>
    <w:basedOn w:val="GFANumberedLists1"/>
    <w:link w:val="GFANumberedLists5Zchn"/>
    <w:uiPriority w:val="99"/>
    <w:semiHidden/>
    <w:rsid w:val="0070541D"/>
    <w:pPr>
      <w:numPr>
        <w:ilvl w:val="4"/>
      </w:numPr>
      <w:tabs>
        <w:tab w:val="clear" w:pos="926"/>
        <w:tab w:val="num" w:pos="1420"/>
      </w:tabs>
      <w:ind w:left="1420" w:hanging="284"/>
    </w:pPr>
  </w:style>
  <w:style w:type="character" w:customStyle="1" w:styleId="GFANumberedLists4Zchn">
    <w:name w:val="GFA Numbered Lists 4 Zchn"/>
    <w:basedOn w:val="GFANumberedLists1Zchn"/>
    <w:link w:val="GFANumberedLists4"/>
    <w:uiPriority w:val="99"/>
    <w:semiHidden/>
    <w:locked/>
    <w:rsid w:val="0070541D"/>
  </w:style>
  <w:style w:type="paragraph" w:customStyle="1" w:styleId="GFANumberedLists6">
    <w:name w:val="GFA Numbered Lists 6"/>
    <w:basedOn w:val="GFANumberedLists1"/>
    <w:link w:val="GFANumberedLists6Zchn"/>
    <w:uiPriority w:val="99"/>
    <w:semiHidden/>
    <w:rsid w:val="0070541D"/>
    <w:pPr>
      <w:numPr>
        <w:ilvl w:val="5"/>
      </w:numPr>
      <w:tabs>
        <w:tab w:val="clear" w:pos="926"/>
        <w:tab w:val="num" w:pos="1704"/>
      </w:tabs>
      <w:ind w:left="1701" w:hanging="281"/>
    </w:pPr>
  </w:style>
  <w:style w:type="character" w:customStyle="1" w:styleId="GFANumberedLists5Zchn">
    <w:name w:val="GFA Numbered Lists 5 Zchn"/>
    <w:basedOn w:val="GFANumberedLists1Zchn"/>
    <w:link w:val="GFANumberedLists5"/>
    <w:uiPriority w:val="99"/>
    <w:semiHidden/>
    <w:locked/>
    <w:rsid w:val="0070541D"/>
  </w:style>
  <w:style w:type="paragraph" w:customStyle="1" w:styleId="GFANumberedLists7">
    <w:name w:val="GFA Numbered Lists 7"/>
    <w:basedOn w:val="GFANumberedLists1"/>
    <w:link w:val="GFANumberedLists7Zchn"/>
    <w:uiPriority w:val="99"/>
    <w:semiHidden/>
    <w:rsid w:val="0070541D"/>
    <w:pPr>
      <w:numPr>
        <w:ilvl w:val="6"/>
      </w:numPr>
      <w:tabs>
        <w:tab w:val="clear" w:pos="926"/>
        <w:tab w:val="num" w:pos="1988"/>
      </w:tabs>
      <w:ind w:left="1985" w:hanging="284"/>
    </w:pPr>
  </w:style>
  <w:style w:type="character" w:customStyle="1" w:styleId="GFANumberedLists6Zchn">
    <w:name w:val="GFA Numbered Lists 6 Zchn"/>
    <w:basedOn w:val="GFANumberedLists1Zchn"/>
    <w:link w:val="GFANumberedLists6"/>
    <w:uiPriority w:val="99"/>
    <w:semiHidden/>
    <w:locked/>
    <w:rsid w:val="0070541D"/>
  </w:style>
  <w:style w:type="paragraph" w:customStyle="1" w:styleId="GFANumberedLists8">
    <w:name w:val="GFA Numbered Lists 8"/>
    <w:basedOn w:val="GFANumberedLists1"/>
    <w:link w:val="GFANumberedLists8Zchn"/>
    <w:uiPriority w:val="99"/>
    <w:semiHidden/>
    <w:rsid w:val="0070541D"/>
    <w:pPr>
      <w:numPr>
        <w:ilvl w:val="7"/>
      </w:numPr>
      <w:tabs>
        <w:tab w:val="clear" w:pos="926"/>
        <w:tab w:val="num" w:pos="2272"/>
      </w:tabs>
      <w:ind w:left="2268" w:hanging="283"/>
    </w:pPr>
  </w:style>
  <w:style w:type="character" w:customStyle="1" w:styleId="GFANumberedLists7Zchn">
    <w:name w:val="GFA Numbered Lists 7 Zchn"/>
    <w:basedOn w:val="GFANumberedLists1Zchn"/>
    <w:link w:val="GFANumberedLists7"/>
    <w:uiPriority w:val="99"/>
    <w:semiHidden/>
    <w:locked/>
    <w:rsid w:val="0070541D"/>
  </w:style>
  <w:style w:type="paragraph" w:customStyle="1" w:styleId="GFANumberedLists9">
    <w:name w:val="GFA Numbered Lists 9"/>
    <w:basedOn w:val="GFANumberedLists1"/>
    <w:link w:val="GFANumberedLists9Zchn"/>
    <w:uiPriority w:val="99"/>
    <w:semiHidden/>
    <w:rsid w:val="0070541D"/>
    <w:pPr>
      <w:numPr>
        <w:ilvl w:val="8"/>
      </w:numPr>
      <w:tabs>
        <w:tab w:val="clear" w:pos="926"/>
        <w:tab w:val="num" w:pos="2556"/>
      </w:tabs>
      <w:ind w:left="2552" w:hanging="284"/>
    </w:pPr>
  </w:style>
  <w:style w:type="character" w:customStyle="1" w:styleId="GFANumberedLists8Zchn">
    <w:name w:val="GFA Numbered Lists 8 Zchn"/>
    <w:basedOn w:val="GFANumberedLists1Zchn"/>
    <w:link w:val="GFANumberedLists8"/>
    <w:uiPriority w:val="99"/>
    <w:semiHidden/>
    <w:locked/>
    <w:rsid w:val="0070541D"/>
  </w:style>
  <w:style w:type="character" w:customStyle="1" w:styleId="GFANumberedLists9Zchn">
    <w:name w:val="GFA Numbered Lists 9 Zchn"/>
    <w:basedOn w:val="GFANumberedLists1Zchn"/>
    <w:link w:val="GFANumberedLists9"/>
    <w:uiPriority w:val="99"/>
    <w:semiHidden/>
    <w:locked/>
    <w:rsid w:val="0070541D"/>
  </w:style>
  <w:style w:type="table" w:customStyle="1" w:styleId="TAB-BLUE-1">
    <w:name w:val="TAB-BLUE-1"/>
    <w:uiPriority w:val="99"/>
    <w:rsid w:val="00706E7B"/>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E9F1F9"/>
    </w:tcPr>
  </w:style>
  <w:style w:type="table" w:customStyle="1" w:styleId="TAB-BLUE-2">
    <w:name w:val="TAB-BLUE-2"/>
    <w:uiPriority w:val="99"/>
    <w:rsid w:val="004360FA"/>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E9F1F9"/>
    </w:tcPr>
  </w:style>
  <w:style w:type="table" w:customStyle="1" w:styleId="TableGridLight1">
    <w:name w:val="Table Grid Light1"/>
    <w:uiPriority w:val="99"/>
    <w:rsid w:val="004360FA"/>
    <w:rPr>
      <w:sz w:val="20"/>
      <w:szCs w:val="20"/>
      <w:lang w:val="sr-Latn-CS" w:eastAsia="sr-Latn-C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GOLD">
    <w:name w:val="TAB-GOLD"/>
    <w:uiPriority w:val="99"/>
    <w:rsid w:val="00706E7B"/>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BF6EB"/>
    </w:tcPr>
  </w:style>
  <w:style w:type="table" w:customStyle="1" w:styleId="TAB-GRAY">
    <w:name w:val="TAB-GRAY"/>
    <w:uiPriority w:val="99"/>
    <w:rsid w:val="004360FA"/>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2F2F2"/>
    </w:tcPr>
  </w:style>
  <w:style w:type="table" w:customStyle="1" w:styleId="DunkleListe2">
    <w:name w:val="Dunkle Liste2"/>
    <w:uiPriority w:val="99"/>
    <w:semiHidden/>
    <w:locked/>
    <w:rsid w:val="009B4330"/>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FarbigeListe2">
    <w:name w:val="Farbige Liste2"/>
    <w:uiPriority w:val="99"/>
    <w:semiHidden/>
    <w:rsid w:val="009B4330"/>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FarbigeSchattierung2">
    <w:name w:val="Farbige Schattierung2"/>
    <w:uiPriority w:val="99"/>
    <w:semiHidden/>
    <w:rsid w:val="009B4330"/>
    <w:rPr>
      <w:color w:val="000000"/>
      <w:sz w:val="20"/>
      <w:szCs w:val="20"/>
      <w:lang w:val="sr-Latn-CS" w:eastAsia="sr-Latn-CS"/>
    </w:rPr>
    <w:tblPr>
      <w:tblStyleRowBandSize w:val="1"/>
      <w:tblStyleColBandSize w:val="1"/>
      <w:tblInd w:w="0" w:type="dxa"/>
      <w:tblBorders>
        <w:top w:val="single" w:sz="24" w:space="0" w:color="148DC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FarbigesRaster2">
    <w:name w:val="Farbiges Raster2"/>
    <w:uiPriority w:val="99"/>
    <w:semiHidden/>
    <w:rsid w:val="009B4330"/>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HelleListe2">
    <w:name w:val="Helle Liste2"/>
    <w:uiPriority w:val="99"/>
    <w:semiHidden/>
    <w:rsid w:val="009B4330"/>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HelleListe-Akzent12">
    <w:name w:val="Helle Liste - Akzent 12"/>
    <w:uiPriority w:val="99"/>
    <w:semiHidden/>
    <w:locked/>
    <w:rsid w:val="009B4330"/>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tblBorders>
      <w:tblCellMar>
        <w:top w:w="0" w:type="dxa"/>
        <w:left w:w="108" w:type="dxa"/>
        <w:bottom w:w="0" w:type="dxa"/>
        <w:right w:w="108" w:type="dxa"/>
      </w:tblCellMar>
    </w:tblPr>
  </w:style>
  <w:style w:type="table" w:customStyle="1" w:styleId="HelleSchattierung2">
    <w:name w:val="Helle Schattierung2"/>
    <w:uiPriority w:val="99"/>
    <w:semiHidden/>
    <w:locked/>
    <w:rsid w:val="009B4330"/>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2">
    <w:name w:val="Helle Schattierung - Akzent 12"/>
    <w:uiPriority w:val="99"/>
    <w:semiHidden/>
    <w:locked/>
    <w:rsid w:val="009B4330"/>
    <w:rPr>
      <w:color w:val="0D113E"/>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HellesRaster2">
    <w:name w:val="Helles Raster2"/>
    <w:uiPriority w:val="99"/>
    <w:semiHidden/>
    <w:locked/>
    <w:rsid w:val="009B4330"/>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HellesRaster-Akzent12">
    <w:name w:val="Helles Raster - Akzent 12"/>
    <w:uiPriority w:val="99"/>
    <w:semiHidden/>
    <w:locked/>
    <w:rsid w:val="009B4330"/>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insideH w:val="single" w:sz="8" w:space="0" w:color="121754"/>
        <w:insideV w:val="single" w:sz="8" w:space="0" w:color="121754"/>
      </w:tblBorders>
      <w:tblCellMar>
        <w:top w:w="0" w:type="dxa"/>
        <w:left w:w="108" w:type="dxa"/>
        <w:bottom w:w="0" w:type="dxa"/>
        <w:right w:w="108" w:type="dxa"/>
      </w:tblCellMar>
    </w:tblPr>
  </w:style>
  <w:style w:type="table" w:customStyle="1" w:styleId="MittlereListe12">
    <w:name w:val="Mittlere Liste 12"/>
    <w:uiPriority w:val="99"/>
    <w:semiHidden/>
    <w:locked/>
    <w:rsid w:val="009B4330"/>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ittlereListe1-Akzent12">
    <w:name w:val="Mittlere Liste 1 - Akzent 12"/>
    <w:uiPriority w:val="99"/>
    <w:semiHidden/>
    <w:locked/>
    <w:rsid w:val="009B4330"/>
    <w:rPr>
      <w:color w:val="000000"/>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MittlereListe22">
    <w:name w:val="Mittlere Liste 22"/>
    <w:uiPriority w:val="99"/>
    <w:semiHidden/>
    <w:locked/>
    <w:rsid w:val="009B4330"/>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ittlereSchattierung12">
    <w:name w:val="Mittlere Schattierung 12"/>
    <w:uiPriority w:val="99"/>
    <w:semiHidden/>
    <w:locked/>
    <w:rsid w:val="009B4330"/>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ittlereSchattierung1-Akzent12">
    <w:name w:val="Mittlere Schattierung 1 - Akzent 12"/>
    <w:uiPriority w:val="99"/>
    <w:semiHidden/>
    <w:locked/>
    <w:rsid w:val="009B4330"/>
    <w:rPr>
      <w:sz w:val="20"/>
      <w:szCs w:val="20"/>
      <w:lang w:val="sr-Latn-CS" w:eastAsia="sr-Latn-CS"/>
    </w:rPr>
    <w:tblPr>
      <w:tblStyleRowBandSize w:val="1"/>
      <w:tblStyleColBandSize w:val="1"/>
      <w:tblInd w:w="0" w:type="dxa"/>
      <w:tblBorders>
        <w:top w:val="single" w:sz="8" w:space="0" w:color="242EA8"/>
        <w:left w:val="single" w:sz="8" w:space="0" w:color="242EA8"/>
        <w:bottom w:val="single" w:sz="8" w:space="0" w:color="242EA8"/>
        <w:right w:val="single" w:sz="8" w:space="0" w:color="242EA8"/>
        <w:insideH w:val="single" w:sz="8" w:space="0" w:color="242EA8"/>
      </w:tblBorders>
      <w:tblCellMar>
        <w:top w:w="0" w:type="dxa"/>
        <w:left w:w="108" w:type="dxa"/>
        <w:bottom w:w="0" w:type="dxa"/>
        <w:right w:w="108" w:type="dxa"/>
      </w:tblCellMar>
    </w:tblPr>
  </w:style>
  <w:style w:type="table" w:customStyle="1" w:styleId="MittlereSchattierung22">
    <w:name w:val="Mittlere Schattierung 22"/>
    <w:uiPriority w:val="99"/>
    <w:semiHidden/>
    <w:locked/>
    <w:rsid w:val="009B4330"/>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12">
    <w:name w:val="Mittlere Schattierung 2 - Akzent 12"/>
    <w:uiPriority w:val="99"/>
    <w:semiHidden/>
    <w:locked/>
    <w:rsid w:val="009B4330"/>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Raster12">
    <w:name w:val="Mittleres Raster 12"/>
    <w:uiPriority w:val="99"/>
    <w:semiHidden/>
    <w:locked/>
    <w:rsid w:val="009B4330"/>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ittleresRaster22">
    <w:name w:val="Mittleres Raster 22"/>
    <w:uiPriority w:val="99"/>
    <w:semiHidden/>
    <w:locked/>
    <w:rsid w:val="009B4330"/>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ittleresRaster32">
    <w:name w:val="Mittleres Raster 32"/>
    <w:uiPriority w:val="99"/>
    <w:semiHidden/>
    <w:locked/>
    <w:rsid w:val="009B4330"/>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TAB-GREEN">
    <w:name w:val="TAB-GREEN"/>
    <w:uiPriority w:val="99"/>
    <w:rsid w:val="004360FA"/>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AFDF5"/>
    </w:tcPr>
  </w:style>
  <w:style w:type="character" w:styleId="CommentReference">
    <w:name w:val="annotation reference"/>
    <w:basedOn w:val="DefaultParagraphFont"/>
    <w:uiPriority w:val="99"/>
    <w:semiHidden/>
    <w:rsid w:val="00F82F6D"/>
    <w:rPr>
      <w:rFonts w:cs="Times New Roman"/>
      <w:sz w:val="16"/>
      <w:szCs w:val="16"/>
    </w:rPr>
  </w:style>
  <w:style w:type="paragraph" w:styleId="CommentText">
    <w:name w:val="annotation text"/>
    <w:basedOn w:val="Normal"/>
    <w:link w:val="CommentTextChar"/>
    <w:uiPriority w:val="99"/>
    <w:semiHidden/>
    <w:rsid w:val="00F82F6D"/>
    <w:rPr>
      <w:sz w:val="20"/>
      <w:szCs w:val="20"/>
    </w:rPr>
  </w:style>
  <w:style w:type="character" w:customStyle="1" w:styleId="CommentTextChar">
    <w:name w:val="Comment Text Char"/>
    <w:basedOn w:val="DefaultParagraphFont"/>
    <w:link w:val="CommentText"/>
    <w:uiPriority w:val="99"/>
    <w:semiHidden/>
    <w:locked/>
    <w:rsid w:val="00F82F6D"/>
    <w:rPr>
      <w:rFonts w:cs="Times New Roman"/>
      <w:sz w:val="20"/>
      <w:szCs w:val="20"/>
    </w:rPr>
  </w:style>
  <w:style w:type="paragraph" w:styleId="CommentSubject">
    <w:name w:val="annotation subject"/>
    <w:basedOn w:val="CommentText"/>
    <w:next w:val="CommentText"/>
    <w:link w:val="CommentSubjectChar"/>
    <w:uiPriority w:val="99"/>
    <w:semiHidden/>
    <w:rsid w:val="00F82F6D"/>
    <w:rPr>
      <w:b/>
      <w:bCs/>
    </w:rPr>
  </w:style>
  <w:style w:type="character" w:customStyle="1" w:styleId="CommentSubjectChar">
    <w:name w:val="Comment Subject Char"/>
    <w:basedOn w:val="CommentTextChar"/>
    <w:link w:val="CommentSubject"/>
    <w:uiPriority w:val="99"/>
    <w:semiHidden/>
    <w:locked/>
    <w:rsid w:val="00F82F6D"/>
    <w:rPr>
      <w:b/>
      <w:bCs/>
    </w:rPr>
  </w:style>
  <w:style w:type="paragraph" w:styleId="Revision">
    <w:name w:val="Revision"/>
    <w:hidden/>
    <w:uiPriority w:val="99"/>
    <w:semiHidden/>
    <w:rsid w:val="00F82F6D"/>
    <w:rPr>
      <w:sz w:val="21"/>
      <w:szCs w:val="21"/>
      <w:lang w:val="de-DE" w:eastAsia="de-DE"/>
    </w:rPr>
  </w:style>
  <w:style w:type="paragraph" w:customStyle="1" w:styleId="clan">
    <w:name w:val="clan"/>
    <w:basedOn w:val="Normal"/>
    <w:uiPriority w:val="99"/>
    <w:rsid w:val="002518CC"/>
    <w:pPr>
      <w:overflowPunct/>
      <w:autoSpaceDE/>
      <w:autoSpaceDN/>
      <w:adjustRightInd/>
      <w:spacing w:before="240"/>
      <w:jc w:val="center"/>
      <w:textAlignment w:val="auto"/>
    </w:pPr>
    <w:rPr>
      <w:rFonts w:cs="Arial"/>
      <w:b/>
      <w:bCs/>
      <w:sz w:val="24"/>
      <w:szCs w:val="24"/>
    </w:rPr>
  </w:style>
  <w:style w:type="paragraph" w:customStyle="1" w:styleId="Normal1">
    <w:name w:val="Normal1"/>
    <w:basedOn w:val="Normal"/>
    <w:uiPriority w:val="99"/>
    <w:rsid w:val="002518CC"/>
    <w:pPr>
      <w:overflowPunct/>
      <w:autoSpaceDE/>
      <w:autoSpaceDN/>
      <w:adjustRightInd/>
      <w:spacing w:after="150"/>
      <w:jc w:val="left"/>
      <w:textAlignment w:val="auto"/>
    </w:pPr>
    <w:rPr>
      <w:rFonts w:cs="Arial"/>
      <w:sz w:val="22"/>
      <w:szCs w:val="22"/>
    </w:rPr>
  </w:style>
  <w:style w:type="paragraph" w:customStyle="1" w:styleId="normaluvuceni">
    <w:name w:val="normal_uvuceni"/>
    <w:basedOn w:val="Normal"/>
    <w:uiPriority w:val="99"/>
    <w:rsid w:val="002518CC"/>
    <w:pPr>
      <w:overflowPunct/>
      <w:autoSpaceDE/>
      <w:autoSpaceDN/>
      <w:adjustRightInd/>
      <w:spacing w:after="150"/>
      <w:ind w:left="1134" w:hanging="142"/>
      <w:jc w:val="left"/>
      <w:textAlignment w:val="auto"/>
    </w:pPr>
    <w:rPr>
      <w:rFonts w:cs="Arial"/>
      <w:sz w:val="22"/>
      <w:szCs w:val="22"/>
    </w:rPr>
  </w:style>
  <w:style w:type="paragraph" w:customStyle="1" w:styleId="wyq100---naslov-grupe-clanova-kurziv">
    <w:name w:val="wyq100---naslov-grupe-clanova-kurziv"/>
    <w:basedOn w:val="Normal"/>
    <w:uiPriority w:val="99"/>
    <w:rsid w:val="002518CC"/>
    <w:pPr>
      <w:overflowPunct/>
      <w:autoSpaceDE/>
      <w:autoSpaceDN/>
      <w:adjustRightInd/>
      <w:spacing w:before="240" w:after="240"/>
      <w:jc w:val="center"/>
      <w:textAlignment w:val="auto"/>
    </w:pPr>
    <w:rPr>
      <w:rFonts w:cs="Arial"/>
      <w:b/>
      <w:bCs/>
      <w:i/>
      <w:iCs/>
      <w:sz w:val="24"/>
      <w:szCs w:val="24"/>
    </w:rPr>
  </w:style>
  <w:style w:type="paragraph" w:customStyle="1" w:styleId="Default">
    <w:name w:val="Default"/>
    <w:uiPriority w:val="99"/>
    <w:rsid w:val="00345B7D"/>
    <w:pPr>
      <w:autoSpaceDE w:val="0"/>
      <w:autoSpaceDN w:val="0"/>
      <w:adjustRightInd w:val="0"/>
    </w:pPr>
    <w:rPr>
      <w:rFonts w:cs="Arial"/>
      <w:color w:val="000000"/>
      <w:sz w:val="24"/>
      <w:szCs w:val="24"/>
      <w:lang w:val="de-DE" w:eastAsia="de-DE"/>
    </w:rPr>
  </w:style>
  <w:style w:type="table" w:customStyle="1" w:styleId="MediumGrid3-Accent21">
    <w:name w:val="Medium Grid 3 - Accent 2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EE4F8"/>
    </w:tcPr>
  </w:style>
  <w:style w:type="table" w:customStyle="1" w:styleId="LightList-Accent21">
    <w:name w:val="Light List - Accent 21"/>
    <w:uiPriority w:val="99"/>
    <w:semiHidden/>
    <w:locked/>
    <w:rsid w:val="001018A1"/>
    <w:rPr>
      <w:sz w:val="20"/>
      <w:szCs w:val="20"/>
      <w:lang w:val="sr-Latn-CS" w:eastAsia="sr-Latn-CS"/>
    </w:rPr>
    <w:tblPr>
      <w:tblStyleRowBandSize w:val="1"/>
      <w:tblStyleColBandSize w:val="1"/>
      <w:tblInd w:w="0" w:type="dxa"/>
      <w:tblBorders>
        <w:top w:val="single" w:sz="8" w:space="0" w:color="148DCD"/>
        <w:left w:val="single" w:sz="8" w:space="0" w:color="148DCD"/>
        <w:bottom w:val="single" w:sz="8" w:space="0" w:color="148DCD"/>
        <w:right w:val="single" w:sz="8" w:space="0" w:color="148DCD"/>
      </w:tblBorders>
      <w:tblCellMar>
        <w:top w:w="0" w:type="dxa"/>
        <w:left w:w="108" w:type="dxa"/>
        <w:bottom w:w="0" w:type="dxa"/>
        <w:right w:w="108" w:type="dxa"/>
      </w:tblCellMar>
    </w:tblPr>
  </w:style>
  <w:style w:type="table" w:customStyle="1" w:styleId="GFATableGrid1">
    <w:name w:val="GFA Table Grid1"/>
    <w:uiPriority w:val="99"/>
    <w:rsid w:val="001018A1"/>
    <w:rPr>
      <w:rFonts w:ascii="Arial Narrow" w:hAnsi="Arial Narrow"/>
      <w:sz w:val="20"/>
      <w:szCs w:val="20"/>
      <w:lang w:val="sr-Latn-CS" w:eastAsia="sr-Latn-C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FAInvisible1">
    <w:name w:val="GFA Invisible1"/>
    <w:uiPriority w:val="99"/>
    <w:rsid w:val="001018A1"/>
    <w:rPr>
      <w:sz w:val="20"/>
      <w:szCs w:val="20"/>
      <w:lang w:val="sr-Latn-CS" w:eastAsia="sr-Latn-CS"/>
    </w:rPr>
    <w:tblPr>
      <w:tblInd w:w="0" w:type="dxa"/>
      <w:tblCellMar>
        <w:top w:w="0" w:type="dxa"/>
        <w:left w:w="0" w:type="dxa"/>
        <w:bottom w:w="0" w:type="dxa"/>
        <w:right w:w="0" w:type="dxa"/>
      </w:tblCellMar>
    </w:tblPr>
  </w:style>
  <w:style w:type="table" w:customStyle="1" w:styleId="HelleSchattierung11">
    <w:name w:val="Helle Schattierung1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Raster-Akzent111">
    <w:name w:val="Helles Raster - Akzent 111"/>
    <w:uiPriority w:val="99"/>
    <w:semiHidden/>
    <w:locked/>
    <w:rsid w:val="001018A1"/>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insideH w:val="single" w:sz="8" w:space="0" w:color="121754"/>
        <w:insideV w:val="single" w:sz="8" w:space="0" w:color="121754"/>
      </w:tblBorders>
      <w:tblCellMar>
        <w:top w:w="0" w:type="dxa"/>
        <w:left w:w="108" w:type="dxa"/>
        <w:bottom w:w="0" w:type="dxa"/>
        <w:right w:w="108" w:type="dxa"/>
      </w:tblCellMar>
    </w:tblPr>
  </w:style>
  <w:style w:type="table" w:customStyle="1" w:styleId="HelleSchattierung-Akzent111">
    <w:name w:val="Helle Schattierung - Akzent 111"/>
    <w:uiPriority w:val="99"/>
    <w:semiHidden/>
    <w:locked/>
    <w:rsid w:val="001018A1"/>
    <w:rPr>
      <w:color w:val="0D113E"/>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DunkleListe11">
    <w:name w:val="Dunkle Liste1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DarkList-Accent11">
    <w:name w:val="Dark List - Accent 1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121754"/>
    </w:tcPr>
  </w:style>
  <w:style w:type="table" w:customStyle="1" w:styleId="DarkList-Accent21">
    <w:name w:val="Dark List - Accent 2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148DCD"/>
    </w:tcPr>
  </w:style>
  <w:style w:type="table" w:customStyle="1" w:styleId="DarkList-Accent31">
    <w:name w:val="Dark List - Accent 3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94BAE3"/>
    </w:tcPr>
  </w:style>
  <w:style w:type="table" w:customStyle="1" w:styleId="DarkList-Accent41">
    <w:name w:val="Dark List - Accent 4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79B51C"/>
    </w:tcPr>
  </w:style>
  <w:style w:type="table" w:customStyle="1" w:styleId="DarkList-Accent51">
    <w:name w:val="Dark List - Accent 5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ACC705"/>
    </w:tcPr>
  </w:style>
  <w:style w:type="table" w:customStyle="1" w:styleId="DarkList-Accent61">
    <w:name w:val="Dark List - Accent 6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F39200"/>
    </w:tcPr>
  </w:style>
  <w:style w:type="table" w:customStyle="1" w:styleId="HelleListe11">
    <w:name w:val="Helle Liste11"/>
    <w:uiPriority w:val="99"/>
    <w:semiHidden/>
    <w:rsid w:val="001018A1"/>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HelleListe-Akzent111">
    <w:name w:val="Helle Liste - Akzent 111"/>
    <w:uiPriority w:val="99"/>
    <w:semiHidden/>
    <w:locked/>
    <w:rsid w:val="001018A1"/>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tblBorders>
      <w:tblCellMar>
        <w:top w:w="0" w:type="dxa"/>
        <w:left w:w="108" w:type="dxa"/>
        <w:bottom w:w="0" w:type="dxa"/>
        <w:right w:w="108" w:type="dxa"/>
      </w:tblCellMar>
    </w:tblPr>
  </w:style>
  <w:style w:type="table" w:customStyle="1" w:styleId="LightList-Accent31">
    <w:name w:val="Light List - Accent 31"/>
    <w:uiPriority w:val="99"/>
    <w:semiHidden/>
    <w:locked/>
    <w:rsid w:val="001018A1"/>
    <w:rPr>
      <w:sz w:val="20"/>
      <w:szCs w:val="20"/>
      <w:lang w:val="sr-Latn-CS" w:eastAsia="sr-Latn-CS"/>
    </w:rPr>
    <w:tblPr>
      <w:tblStyleRowBandSize w:val="1"/>
      <w:tblStyleColBandSize w:val="1"/>
      <w:tblInd w:w="0" w:type="dxa"/>
      <w:tblBorders>
        <w:top w:val="single" w:sz="8" w:space="0" w:color="94BAE3"/>
        <w:left w:val="single" w:sz="8" w:space="0" w:color="94BAE3"/>
        <w:bottom w:val="single" w:sz="8" w:space="0" w:color="94BAE3"/>
        <w:right w:val="single" w:sz="8" w:space="0" w:color="94BAE3"/>
      </w:tblBorders>
      <w:tblCellMar>
        <w:top w:w="0" w:type="dxa"/>
        <w:left w:w="108" w:type="dxa"/>
        <w:bottom w:w="0" w:type="dxa"/>
        <w:right w:w="108" w:type="dxa"/>
      </w:tblCellMar>
    </w:tblPr>
  </w:style>
  <w:style w:type="table" w:customStyle="1" w:styleId="LightList-Accent41">
    <w:name w:val="Light List - Accent 41"/>
    <w:uiPriority w:val="99"/>
    <w:semiHidden/>
    <w:locked/>
    <w:rsid w:val="001018A1"/>
    <w:rPr>
      <w:sz w:val="20"/>
      <w:szCs w:val="20"/>
      <w:lang w:val="sr-Latn-CS" w:eastAsia="sr-Latn-CS"/>
    </w:rPr>
    <w:tblPr>
      <w:tblStyleRowBandSize w:val="1"/>
      <w:tblStyleColBandSize w:val="1"/>
      <w:tblInd w:w="0" w:type="dxa"/>
      <w:tblBorders>
        <w:top w:val="single" w:sz="8" w:space="0" w:color="79B51C"/>
        <w:left w:val="single" w:sz="8" w:space="0" w:color="79B51C"/>
        <w:bottom w:val="single" w:sz="8" w:space="0" w:color="79B51C"/>
        <w:right w:val="single" w:sz="8" w:space="0" w:color="79B51C"/>
      </w:tblBorders>
      <w:tblCellMar>
        <w:top w:w="0" w:type="dxa"/>
        <w:left w:w="108" w:type="dxa"/>
        <w:bottom w:w="0" w:type="dxa"/>
        <w:right w:w="108" w:type="dxa"/>
      </w:tblCellMar>
    </w:tblPr>
  </w:style>
  <w:style w:type="table" w:customStyle="1" w:styleId="LightList-Accent51">
    <w:name w:val="Light List - Accent 51"/>
    <w:uiPriority w:val="99"/>
    <w:semiHidden/>
    <w:locked/>
    <w:rsid w:val="001018A1"/>
    <w:rPr>
      <w:sz w:val="20"/>
      <w:szCs w:val="20"/>
      <w:lang w:val="sr-Latn-CS" w:eastAsia="sr-Latn-CS"/>
    </w:rPr>
    <w:tblPr>
      <w:tblStyleRowBandSize w:val="1"/>
      <w:tblStyleColBandSize w:val="1"/>
      <w:tblInd w:w="0" w:type="dxa"/>
      <w:tblBorders>
        <w:top w:val="single" w:sz="8" w:space="0" w:color="ACC705"/>
        <w:left w:val="single" w:sz="8" w:space="0" w:color="ACC705"/>
        <w:bottom w:val="single" w:sz="8" w:space="0" w:color="ACC705"/>
        <w:right w:val="single" w:sz="8" w:space="0" w:color="ACC705"/>
      </w:tblBorders>
      <w:tblCellMar>
        <w:top w:w="0" w:type="dxa"/>
        <w:left w:w="108" w:type="dxa"/>
        <w:bottom w:w="0" w:type="dxa"/>
        <w:right w:w="108" w:type="dxa"/>
      </w:tblCellMar>
    </w:tblPr>
  </w:style>
  <w:style w:type="table" w:customStyle="1" w:styleId="LightList-Accent61">
    <w:name w:val="Light List - Accent 61"/>
    <w:uiPriority w:val="99"/>
    <w:semiHidden/>
    <w:locked/>
    <w:rsid w:val="001018A1"/>
    <w:rPr>
      <w:sz w:val="20"/>
      <w:szCs w:val="20"/>
      <w:lang w:val="sr-Latn-CS" w:eastAsia="sr-Latn-CS"/>
    </w:rPr>
    <w:tblPr>
      <w:tblStyleRowBandSize w:val="1"/>
      <w:tblStyleColBandSize w:val="1"/>
      <w:tblInd w:w="0" w:type="dxa"/>
      <w:tblBorders>
        <w:top w:val="single" w:sz="8" w:space="0" w:color="F39200"/>
        <w:left w:val="single" w:sz="8" w:space="0" w:color="F39200"/>
        <w:bottom w:val="single" w:sz="8" w:space="0" w:color="F39200"/>
        <w:right w:val="single" w:sz="8" w:space="0" w:color="F39200"/>
      </w:tblBorders>
      <w:tblCellMar>
        <w:top w:w="0" w:type="dxa"/>
        <w:left w:w="108" w:type="dxa"/>
        <w:bottom w:w="0" w:type="dxa"/>
        <w:right w:w="108" w:type="dxa"/>
      </w:tblCellMar>
    </w:tblPr>
  </w:style>
  <w:style w:type="table" w:customStyle="1" w:styleId="LightShading-Accent21">
    <w:name w:val="Light Shading - Accent 21"/>
    <w:uiPriority w:val="99"/>
    <w:semiHidden/>
    <w:locked/>
    <w:rsid w:val="001018A1"/>
    <w:rPr>
      <w:color w:val="0F6999"/>
      <w:sz w:val="20"/>
      <w:szCs w:val="20"/>
      <w:lang w:val="sr-Latn-CS" w:eastAsia="sr-Latn-CS"/>
    </w:rPr>
    <w:tblPr>
      <w:tblStyleRowBandSize w:val="1"/>
      <w:tblStyleColBandSize w:val="1"/>
      <w:tblInd w:w="0" w:type="dxa"/>
      <w:tblBorders>
        <w:top w:val="single" w:sz="8" w:space="0" w:color="148DCD"/>
        <w:bottom w:val="single" w:sz="8" w:space="0" w:color="148DCD"/>
      </w:tblBorders>
      <w:tblCellMar>
        <w:top w:w="0" w:type="dxa"/>
        <w:left w:w="108" w:type="dxa"/>
        <w:bottom w:w="0" w:type="dxa"/>
        <w:right w:w="108" w:type="dxa"/>
      </w:tblCellMar>
    </w:tblPr>
  </w:style>
  <w:style w:type="table" w:customStyle="1" w:styleId="LightShading-Accent31">
    <w:name w:val="Light Shading - Accent 31"/>
    <w:uiPriority w:val="99"/>
    <w:semiHidden/>
    <w:locked/>
    <w:rsid w:val="001018A1"/>
    <w:rPr>
      <w:color w:val="4989CF"/>
      <w:sz w:val="20"/>
      <w:szCs w:val="20"/>
      <w:lang w:val="sr-Latn-CS" w:eastAsia="sr-Latn-CS"/>
    </w:rPr>
    <w:tblPr>
      <w:tblStyleRowBandSize w:val="1"/>
      <w:tblStyleColBandSize w:val="1"/>
      <w:tblInd w:w="0" w:type="dxa"/>
      <w:tblBorders>
        <w:top w:val="single" w:sz="8" w:space="0" w:color="94BAE3"/>
        <w:bottom w:val="single" w:sz="8" w:space="0" w:color="94BAE3"/>
      </w:tblBorders>
      <w:tblCellMar>
        <w:top w:w="0" w:type="dxa"/>
        <w:left w:w="108" w:type="dxa"/>
        <w:bottom w:w="0" w:type="dxa"/>
        <w:right w:w="108" w:type="dxa"/>
      </w:tblCellMar>
    </w:tblPr>
  </w:style>
  <w:style w:type="table" w:customStyle="1" w:styleId="LightShading-Accent41">
    <w:name w:val="Light Shading - Accent 41"/>
    <w:uiPriority w:val="99"/>
    <w:semiHidden/>
    <w:locked/>
    <w:rsid w:val="001018A1"/>
    <w:rPr>
      <w:color w:val="5A8715"/>
      <w:sz w:val="20"/>
      <w:szCs w:val="20"/>
      <w:lang w:val="sr-Latn-CS" w:eastAsia="sr-Latn-CS"/>
    </w:rPr>
    <w:tblPr>
      <w:tblStyleRowBandSize w:val="1"/>
      <w:tblStyleColBandSize w:val="1"/>
      <w:tblInd w:w="0" w:type="dxa"/>
      <w:tblBorders>
        <w:top w:val="single" w:sz="8" w:space="0" w:color="79B51C"/>
        <w:bottom w:val="single" w:sz="8" w:space="0" w:color="79B51C"/>
      </w:tblBorders>
      <w:tblCellMar>
        <w:top w:w="0" w:type="dxa"/>
        <w:left w:w="108" w:type="dxa"/>
        <w:bottom w:w="0" w:type="dxa"/>
        <w:right w:w="108" w:type="dxa"/>
      </w:tblCellMar>
    </w:tblPr>
  </w:style>
  <w:style w:type="table" w:customStyle="1" w:styleId="LightShading-Accent51">
    <w:name w:val="Light Shading - Accent 51"/>
    <w:uiPriority w:val="99"/>
    <w:semiHidden/>
    <w:locked/>
    <w:rsid w:val="001018A1"/>
    <w:rPr>
      <w:color w:val="809403"/>
      <w:sz w:val="20"/>
      <w:szCs w:val="20"/>
      <w:lang w:val="sr-Latn-CS" w:eastAsia="sr-Latn-CS"/>
    </w:rPr>
    <w:tblPr>
      <w:tblStyleRowBandSize w:val="1"/>
      <w:tblStyleColBandSize w:val="1"/>
      <w:tblInd w:w="0" w:type="dxa"/>
      <w:tblBorders>
        <w:top w:val="single" w:sz="8" w:space="0" w:color="ACC705"/>
        <w:bottom w:val="single" w:sz="8" w:space="0" w:color="ACC705"/>
      </w:tblBorders>
      <w:tblCellMar>
        <w:top w:w="0" w:type="dxa"/>
        <w:left w:w="108" w:type="dxa"/>
        <w:bottom w:w="0" w:type="dxa"/>
        <w:right w:w="108" w:type="dxa"/>
      </w:tblCellMar>
    </w:tblPr>
  </w:style>
  <w:style w:type="table" w:customStyle="1" w:styleId="LightShading-Accent61">
    <w:name w:val="Light Shading - Accent 61"/>
    <w:uiPriority w:val="99"/>
    <w:semiHidden/>
    <w:locked/>
    <w:rsid w:val="001018A1"/>
    <w:rPr>
      <w:color w:val="B66D00"/>
      <w:sz w:val="20"/>
      <w:szCs w:val="20"/>
      <w:lang w:val="sr-Latn-CS" w:eastAsia="sr-Latn-CS"/>
    </w:rPr>
    <w:tblPr>
      <w:tblStyleRowBandSize w:val="1"/>
      <w:tblStyleColBandSize w:val="1"/>
      <w:tblInd w:w="0" w:type="dxa"/>
      <w:tblBorders>
        <w:top w:val="single" w:sz="8" w:space="0" w:color="F39200"/>
        <w:bottom w:val="single" w:sz="8" w:space="0" w:color="F39200"/>
      </w:tblBorders>
      <w:tblCellMar>
        <w:top w:w="0" w:type="dxa"/>
        <w:left w:w="108" w:type="dxa"/>
        <w:bottom w:w="0" w:type="dxa"/>
        <w:right w:w="108" w:type="dxa"/>
      </w:tblCellMar>
    </w:tblPr>
  </w:style>
  <w:style w:type="table" w:customStyle="1" w:styleId="HellesRaster11">
    <w:name w:val="Helles Raster11"/>
    <w:uiPriority w:val="99"/>
    <w:semiHidden/>
    <w:locked/>
    <w:rsid w:val="001018A1"/>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21">
    <w:name w:val="Light Grid - Accent 21"/>
    <w:uiPriority w:val="99"/>
    <w:semiHidden/>
    <w:locked/>
    <w:rsid w:val="001018A1"/>
    <w:rPr>
      <w:sz w:val="20"/>
      <w:szCs w:val="20"/>
      <w:lang w:val="sr-Latn-CS" w:eastAsia="sr-Latn-CS"/>
    </w:rPr>
    <w:tblPr>
      <w:tblStyleRowBandSize w:val="1"/>
      <w:tblStyleColBandSize w:val="1"/>
      <w:tblInd w:w="0" w:type="dxa"/>
      <w:tblBorders>
        <w:top w:val="single" w:sz="8" w:space="0" w:color="148DCD"/>
        <w:left w:val="single" w:sz="8" w:space="0" w:color="148DCD"/>
        <w:bottom w:val="single" w:sz="8" w:space="0" w:color="148DCD"/>
        <w:right w:val="single" w:sz="8" w:space="0" w:color="148DCD"/>
        <w:insideH w:val="single" w:sz="8" w:space="0" w:color="148DCD"/>
        <w:insideV w:val="single" w:sz="8" w:space="0" w:color="148DCD"/>
      </w:tblBorders>
      <w:tblCellMar>
        <w:top w:w="0" w:type="dxa"/>
        <w:left w:w="108" w:type="dxa"/>
        <w:bottom w:w="0" w:type="dxa"/>
        <w:right w:w="108" w:type="dxa"/>
      </w:tblCellMar>
    </w:tblPr>
  </w:style>
  <w:style w:type="table" w:customStyle="1" w:styleId="LightGrid-Accent31">
    <w:name w:val="Light Grid - Accent 31"/>
    <w:uiPriority w:val="99"/>
    <w:semiHidden/>
    <w:locked/>
    <w:rsid w:val="001018A1"/>
    <w:rPr>
      <w:sz w:val="20"/>
      <w:szCs w:val="20"/>
      <w:lang w:val="sr-Latn-CS" w:eastAsia="sr-Latn-CS"/>
    </w:rPr>
    <w:tblPr>
      <w:tblStyleRowBandSize w:val="1"/>
      <w:tblStyleColBandSize w:val="1"/>
      <w:tblInd w:w="0" w:type="dxa"/>
      <w:tblBorders>
        <w:top w:val="single" w:sz="8" w:space="0" w:color="94BAE3"/>
        <w:left w:val="single" w:sz="8" w:space="0" w:color="94BAE3"/>
        <w:bottom w:val="single" w:sz="8" w:space="0" w:color="94BAE3"/>
        <w:right w:val="single" w:sz="8" w:space="0" w:color="94BAE3"/>
        <w:insideH w:val="single" w:sz="8" w:space="0" w:color="94BAE3"/>
        <w:insideV w:val="single" w:sz="8" w:space="0" w:color="94BAE3"/>
      </w:tblBorders>
      <w:tblCellMar>
        <w:top w:w="0" w:type="dxa"/>
        <w:left w:w="108" w:type="dxa"/>
        <w:bottom w:w="0" w:type="dxa"/>
        <w:right w:w="108" w:type="dxa"/>
      </w:tblCellMar>
    </w:tblPr>
  </w:style>
  <w:style w:type="table" w:customStyle="1" w:styleId="LightGrid-Accent41">
    <w:name w:val="Light Grid - Accent 41"/>
    <w:uiPriority w:val="99"/>
    <w:semiHidden/>
    <w:locked/>
    <w:rsid w:val="001018A1"/>
    <w:rPr>
      <w:sz w:val="20"/>
      <w:szCs w:val="20"/>
      <w:lang w:val="sr-Latn-CS" w:eastAsia="sr-Latn-CS"/>
    </w:rPr>
    <w:tblPr>
      <w:tblStyleRowBandSize w:val="1"/>
      <w:tblStyleColBandSize w:val="1"/>
      <w:tblInd w:w="0" w:type="dxa"/>
      <w:tblBorders>
        <w:top w:val="single" w:sz="8" w:space="0" w:color="79B51C"/>
        <w:left w:val="single" w:sz="8" w:space="0" w:color="79B51C"/>
        <w:bottom w:val="single" w:sz="8" w:space="0" w:color="79B51C"/>
        <w:right w:val="single" w:sz="8" w:space="0" w:color="79B51C"/>
        <w:insideH w:val="single" w:sz="8" w:space="0" w:color="79B51C"/>
        <w:insideV w:val="single" w:sz="8" w:space="0" w:color="79B51C"/>
      </w:tblBorders>
      <w:tblCellMar>
        <w:top w:w="0" w:type="dxa"/>
        <w:left w:w="108" w:type="dxa"/>
        <w:bottom w:w="0" w:type="dxa"/>
        <w:right w:w="108" w:type="dxa"/>
      </w:tblCellMar>
    </w:tblPr>
  </w:style>
  <w:style w:type="table" w:customStyle="1" w:styleId="LightGrid-Accent51">
    <w:name w:val="Light Grid - Accent 51"/>
    <w:uiPriority w:val="99"/>
    <w:semiHidden/>
    <w:locked/>
    <w:rsid w:val="001018A1"/>
    <w:rPr>
      <w:sz w:val="20"/>
      <w:szCs w:val="20"/>
      <w:lang w:val="sr-Latn-CS" w:eastAsia="sr-Latn-CS"/>
    </w:rPr>
    <w:tblPr>
      <w:tblStyleRowBandSize w:val="1"/>
      <w:tblStyleColBandSize w:val="1"/>
      <w:tblInd w:w="0" w:type="dxa"/>
      <w:tblBorders>
        <w:top w:val="single" w:sz="8" w:space="0" w:color="ACC705"/>
        <w:left w:val="single" w:sz="8" w:space="0" w:color="ACC705"/>
        <w:bottom w:val="single" w:sz="8" w:space="0" w:color="ACC705"/>
        <w:right w:val="single" w:sz="8" w:space="0" w:color="ACC705"/>
        <w:insideH w:val="single" w:sz="8" w:space="0" w:color="ACC705"/>
        <w:insideV w:val="single" w:sz="8" w:space="0" w:color="ACC705"/>
      </w:tblBorders>
      <w:tblCellMar>
        <w:top w:w="0" w:type="dxa"/>
        <w:left w:w="108" w:type="dxa"/>
        <w:bottom w:w="0" w:type="dxa"/>
        <w:right w:w="108" w:type="dxa"/>
      </w:tblCellMar>
    </w:tblPr>
  </w:style>
  <w:style w:type="table" w:customStyle="1" w:styleId="LightGrid-Accent61">
    <w:name w:val="Light Grid - Accent 61"/>
    <w:uiPriority w:val="99"/>
    <w:semiHidden/>
    <w:locked/>
    <w:rsid w:val="001018A1"/>
    <w:rPr>
      <w:sz w:val="20"/>
      <w:szCs w:val="20"/>
      <w:lang w:val="sr-Latn-CS" w:eastAsia="sr-Latn-CS"/>
    </w:rPr>
    <w:tblPr>
      <w:tblStyleRowBandSize w:val="1"/>
      <w:tblStyleColBandSize w:val="1"/>
      <w:tblInd w:w="0" w:type="dxa"/>
      <w:tblBorders>
        <w:top w:val="single" w:sz="8" w:space="0" w:color="F39200"/>
        <w:left w:val="single" w:sz="8" w:space="0" w:color="F39200"/>
        <w:bottom w:val="single" w:sz="8" w:space="0" w:color="F39200"/>
        <w:right w:val="single" w:sz="8" w:space="0" w:color="F39200"/>
        <w:insideH w:val="single" w:sz="8" w:space="0" w:color="F39200"/>
        <w:insideV w:val="single" w:sz="8" w:space="0" w:color="F39200"/>
      </w:tblBorders>
      <w:tblCellMar>
        <w:top w:w="0" w:type="dxa"/>
        <w:left w:w="108" w:type="dxa"/>
        <w:bottom w:w="0" w:type="dxa"/>
        <w:right w:w="108" w:type="dxa"/>
      </w:tblCellMar>
    </w:tblPr>
  </w:style>
  <w:style w:type="table" w:customStyle="1" w:styleId="FarbigeListe11">
    <w:name w:val="Farbige Liste1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ColorfulList-Accent11">
    <w:name w:val="Colorful List - Accent 1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DEDFF8"/>
    </w:tcPr>
  </w:style>
  <w:style w:type="table" w:customStyle="1" w:styleId="ColorfulList-Accent21">
    <w:name w:val="Colorful List - Accent 2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E5F4FC"/>
    </w:tcPr>
  </w:style>
  <w:style w:type="table" w:customStyle="1" w:styleId="ColorfulList-Accent31">
    <w:name w:val="Colorful List - Accent 3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F4F8FC"/>
    </w:tcPr>
  </w:style>
  <w:style w:type="table" w:customStyle="1" w:styleId="ColorfulList-Accent41">
    <w:name w:val="Colorful List - Accent 4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F2FBE5"/>
    </w:tcPr>
  </w:style>
  <w:style w:type="table" w:customStyle="1" w:styleId="ColorfulList-Accent51">
    <w:name w:val="Colorful List - Accent 5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FAFEE1"/>
    </w:tcPr>
  </w:style>
  <w:style w:type="table" w:customStyle="1" w:styleId="ColorfulList-Accent61">
    <w:name w:val="Colorful List - Accent 6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FFF4E4"/>
    </w:tcPr>
  </w:style>
  <w:style w:type="table" w:customStyle="1" w:styleId="FarbigeSchattierung11">
    <w:name w:val="Farbige Schattierung11"/>
    <w:uiPriority w:val="99"/>
    <w:semiHidden/>
    <w:rsid w:val="001018A1"/>
    <w:rPr>
      <w:color w:val="000000"/>
      <w:sz w:val="20"/>
      <w:szCs w:val="20"/>
      <w:lang w:val="sr-Latn-CS" w:eastAsia="sr-Latn-CS"/>
    </w:rPr>
    <w:tblPr>
      <w:tblStyleRowBandSize w:val="1"/>
      <w:tblStyleColBandSize w:val="1"/>
      <w:tblInd w:w="0" w:type="dxa"/>
      <w:tblBorders>
        <w:top w:val="single" w:sz="24" w:space="0" w:color="148DC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ColorfulShading-Accent11">
    <w:name w:val="Colorful Shading - Accent 11"/>
    <w:uiPriority w:val="99"/>
    <w:semiHidden/>
    <w:rsid w:val="001018A1"/>
    <w:rPr>
      <w:color w:val="000000"/>
      <w:sz w:val="20"/>
      <w:szCs w:val="20"/>
      <w:lang w:val="sr-Latn-CS" w:eastAsia="sr-Latn-CS"/>
    </w:rPr>
    <w:tblPr>
      <w:tblStyleRowBandSize w:val="1"/>
      <w:tblStyleColBandSize w:val="1"/>
      <w:tblInd w:w="0" w:type="dxa"/>
      <w:tblBorders>
        <w:top w:val="single" w:sz="24" w:space="0" w:color="148DCD"/>
        <w:left w:val="single" w:sz="4" w:space="0" w:color="121754"/>
        <w:bottom w:val="single" w:sz="4" w:space="0" w:color="121754"/>
        <w:right w:val="single" w:sz="4" w:space="0" w:color="121754"/>
        <w:insideH w:val="single" w:sz="4" w:space="0" w:color="FFFFFF"/>
        <w:insideV w:val="single" w:sz="4" w:space="0" w:color="FFFFFF"/>
      </w:tblBorders>
      <w:tblCellMar>
        <w:top w:w="0" w:type="dxa"/>
        <w:left w:w="108" w:type="dxa"/>
        <w:bottom w:w="0" w:type="dxa"/>
        <w:right w:w="108" w:type="dxa"/>
      </w:tblCellMar>
    </w:tblPr>
    <w:tcPr>
      <w:shd w:val="clear" w:color="auto" w:fill="DEDFF8"/>
    </w:tcPr>
  </w:style>
  <w:style w:type="table" w:customStyle="1" w:styleId="ColorfulShading-Accent21">
    <w:name w:val="Colorful Shading - Accent 21"/>
    <w:uiPriority w:val="99"/>
    <w:semiHidden/>
    <w:rsid w:val="001018A1"/>
    <w:rPr>
      <w:color w:val="000000"/>
      <w:sz w:val="20"/>
      <w:szCs w:val="20"/>
      <w:lang w:val="sr-Latn-CS" w:eastAsia="sr-Latn-CS"/>
    </w:rPr>
    <w:tblPr>
      <w:tblStyleRowBandSize w:val="1"/>
      <w:tblStyleColBandSize w:val="1"/>
      <w:tblInd w:w="0" w:type="dxa"/>
      <w:tblBorders>
        <w:top w:val="single" w:sz="24" w:space="0" w:color="148DCD"/>
        <w:left w:val="single" w:sz="4" w:space="0" w:color="148DCD"/>
        <w:bottom w:val="single" w:sz="4" w:space="0" w:color="148DCD"/>
        <w:right w:val="single" w:sz="4" w:space="0" w:color="148DCD"/>
        <w:insideH w:val="single" w:sz="4" w:space="0" w:color="FFFFFF"/>
        <w:insideV w:val="single" w:sz="4" w:space="0" w:color="FFFFFF"/>
      </w:tblBorders>
      <w:tblCellMar>
        <w:top w:w="0" w:type="dxa"/>
        <w:left w:w="108" w:type="dxa"/>
        <w:bottom w:w="0" w:type="dxa"/>
        <w:right w:w="108" w:type="dxa"/>
      </w:tblCellMar>
    </w:tblPr>
    <w:tcPr>
      <w:shd w:val="clear" w:color="auto" w:fill="E5F4FC"/>
    </w:tcPr>
  </w:style>
  <w:style w:type="table" w:customStyle="1" w:styleId="ColorfulShading-Accent31">
    <w:name w:val="Colorful Shading - Accent 31"/>
    <w:uiPriority w:val="99"/>
    <w:semiHidden/>
    <w:rsid w:val="001018A1"/>
    <w:rPr>
      <w:color w:val="000000"/>
      <w:sz w:val="20"/>
      <w:szCs w:val="20"/>
      <w:lang w:val="sr-Latn-CS" w:eastAsia="sr-Latn-CS"/>
    </w:rPr>
    <w:tblPr>
      <w:tblStyleRowBandSize w:val="1"/>
      <w:tblStyleColBandSize w:val="1"/>
      <w:tblInd w:w="0" w:type="dxa"/>
      <w:tblBorders>
        <w:top w:val="single" w:sz="24" w:space="0" w:color="79B51C"/>
        <w:left w:val="single" w:sz="4" w:space="0" w:color="94BAE3"/>
        <w:bottom w:val="single" w:sz="4" w:space="0" w:color="94BAE3"/>
        <w:right w:val="single" w:sz="4" w:space="0" w:color="94BAE3"/>
        <w:insideH w:val="single" w:sz="4" w:space="0" w:color="FFFFFF"/>
        <w:insideV w:val="single" w:sz="4" w:space="0" w:color="FFFFFF"/>
      </w:tblBorders>
      <w:tblCellMar>
        <w:top w:w="0" w:type="dxa"/>
        <w:left w:w="108" w:type="dxa"/>
        <w:bottom w:w="0" w:type="dxa"/>
        <w:right w:w="108" w:type="dxa"/>
      </w:tblCellMar>
    </w:tblPr>
    <w:tcPr>
      <w:shd w:val="clear" w:color="auto" w:fill="F4F8FC"/>
    </w:tcPr>
  </w:style>
  <w:style w:type="table" w:customStyle="1" w:styleId="ColorfulShading-Accent41">
    <w:name w:val="Colorful Shading - Accent 41"/>
    <w:uiPriority w:val="99"/>
    <w:semiHidden/>
    <w:rsid w:val="001018A1"/>
    <w:rPr>
      <w:color w:val="000000"/>
      <w:sz w:val="20"/>
      <w:szCs w:val="20"/>
      <w:lang w:val="sr-Latn-CS" w:eastAsia="sr-Latn-CS"/>
    </w:rPr>
    <w:tblPr>
      <w:tblStyleRowBandSize w:val="1"/>
      <w:tblStyleColBandSize w:val="1"/>
      <w:tblInd w:w="0" w:type="dxa"/>
      <w:tblBorders>
        <w:top w:val="single" w:sz="24" w:space="0" w:color="94BAE3"/>
        <w:left w:val="single" w:sz="4" w:space="0" w:color="79B51C"/>
        <w:bottom w:val="single" w:sz="4" w:space="0" w:color="79B51C"/>
        <w:right w:val="single" w:sz="4" w:space="0" w:color="79B51C"/>
        <w:insideH w:val="single" w:sz="4" w:space="0" w:color="FFFFFF"/>
        <w:insideV w:val="single" w:sz="4" w:space="0" w:color="FFFFFF"/>
      </w:tblBorders>
      <w:tblCellMar>
        <w:top w:w="0" w:type="dxa"/>
        <w:left w:w="108" w:type="dxa"/>
        <w:bottom w:w="0" w:type="dxa"/>
        <w:right w:w="108" w:type="dxa"/>
      </w:tblCellMar>
    </w:tblPr>
    <w:tcPr>
      <w:shd w:val="clear" w:color="auto" w:fill="F2FBE5"/>
    </w:tcPr>
  </w:style>
  <w:style w:type="table" w:customStyle="1" w:styleId="ColorfulShading-Accent51">
    <w:name w:val="Colorful Shading - Accent 51"/>
    <w:uiPriority w:val="99"/>
    <w:semiHidden/>
    <w:rsid w:val="001018A1"/>
    <w:rPr>
      <w:color w:val="000000"/>
      <w:sz w:val="20"/>
      <w:szCs w:val="20"/>
      <w:lang w:val="sr-Latn-CS" w:eastAsia="sr-Latn-CS"/>
    </w:rPr>
    <w:tblPr>
      <w:tblStyleRowBandSize w:val="1"/>
      <w:tblStyleColBandSize w:val="1"/>
      <w:tblInd w:w="0" w:type="dxa"/>
      <w:tblBorders>
        <w:top w:val="single" w:sz="24" w:space="0" w:color="F39200"/>
        <w:left w:val="single" w:sz="4" w:space="0" w:color="ACC705"/>
        <w:bottom w:val="single" w:sz="4" w:space="0" w:color="ACC705"/>
        <w:right w:val="single" w:sz="4" w:space="0" w:color="ACC705"/>
        <w:insideH w:val="single" w:sz="4" w:space="0" w:color="FFFFFF"/>
        <w:insideV w:val="single" w:sz="4" w:space="0" w:color="FFFFFF"/>
      </w:tblBorders>
      <w:tblCellMar>
        <w:top w:w="0" w:type="dxa"/>
        <w:left w:w="108" w:type="dxa"/>
        <w:bottom w:w="0" w:type="dxa"/>
        <w:right w:w="108" w:type="dxa"/>
      </w:tblCellMar>
    </w:tblPr>
    <w:tcPr>
      <w:shd w:val="clear" w:color="auto" w:fill="FAFEE1"/>
    </w:tcPr>
  </w:style>
  <w:style w:type="table" w:customStyle="1" w:styleId="ColorfulShading-Accent61">
    <w:name w:val="Colorful Shading - Accent 61"/>
    <w:uiPriority w:val="99"/>
    <w:semiHidden/>
    <w:rsid w:val="001018A1"/>
    <w:rPr>
      <w:color w:val="000000"/>
      <w:sz w:val="20"/>
      <w:szCs w:val="20"/>
      <w:lang w:val="sr-Latn-CS" w:eastAsia="sr-Latn-CS"/>
    </w:rPr>
    <w:tblPr>
      <w:tblStyleRowBandSize w:val="1"/>
      <w:tblStyleColBandSize w:val="1"/>
      <w:tblInd w:w="0" w:type="dxa"/>
      <w:tblBorders>
        <w:top w:val="single" w:sz="24" w:space="0" w:color="ACC705"/>
        <w:left w:val="single" w:sz="4" w:space="0" w:color="F39200"/>
        <w:bottom w:val="single" w:sz="4" w:space="0" w:color="F39200"/>
        <w:right w:val="single" w:sz="4" w:space="0" w:color="F39200"/>
        <w:insideH w:val="single" w:sz="4" w:space="0" w:color="FFFFFF"/>
        <w:insideV w:val="single" w:sz="4" w:space="0" w:color="FFFFFF"/>
      </w:tblBorders>
      <w:tblCellMar>
        <w:top w:w="0" w:type="dxa"/>
        <w:left w:w="108" w:type="dxa"/>
        <w:bottom w:w="0" w:type="dxa"/>
        <w:right w:w="108" w:type="dxa"/>
      </w:tblCellMar>
    </w:tblPr>
    <w:tcPr>
      <w:shd w:val="clear" w:color="auto" w:fill="FFF4E4"/>
    </w:tcPr>
  </w:style>
  <w:style w:type="table" w:customStyle="1" w:styleId="FarbigesRaster11">
    <w:name w:val="Farbiges Raster1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Grid-Accent11">
    <w:name w:val="Colorful Grid - Accent 1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BBFF0"/>
    </w:tcPr>
  </w:style>
  <w:style w:type="table" w:customStyle="1" w:styleId="ColorfulGrid-Accent21">
    <w:name w:val="Colorful Grid - Accent 2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BE9FA"/>
    </w:tcPr>
  </w:style>
  <w:style w:type="table" w:customStyle="1" w:styleId="ColorfulGrid-Accent31">
    <w:name w:val="Colorful Grid - Accent 3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9F1F9"/>
    </w:tcPr>
  </w:style>
  <w:style w:type="table" w:customStyle="1" w:styleId="ColorfulGrid-Accent41">
    <w:name w:val="Colorful Grid - Accent 4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7CA"/>
    </w:tcPr>
  </w:style>
  <w:style w:type="table" w:customStyle="1" w:styleId="ColorfulGrid-Accent51">
    <w:name w:val="Colorful Grid - Accent 5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5FDC3"/>
    </w:tcPr>
  </w:style>
  <w:style w:type="table" w:customStyle="1" w:styleId="ColorfulGrid-Accent61">
    <w:name w:val="Colorful Grid - Accent 6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E9C9"/>
    </w:tcPr>
  </w:style>
  <w:style w:type="table" w:customStyle="1" w:styleId="MittlereSchattierung111">
    <w:name w:val="Mittlere Schattierung 111"/>
    <w:uiPriority w:val="99"/>
    <w:semiHidden/>
    <w:locked/>
    <w:rsid w:val="001018A1"/>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ittlereSchattierung1-Akzent111">
    <w:name w:val="Mittlere Schattierung 1 - Akzent 111"/>
    <w:uiPriority w:val="99"/>
    <w:semiHidden/>
    <w:locked/>
    <w:rsid w:val="001018A1"/>
    <w:rPr>
      <w:sz w:val="20"/>
      <w:szCs w:val="20"/>
      <w:lang w:val="sr-Latn-CS" w:eastAsia="sr-Latn-CS"/>
    </w:rPr>
    <w:tblPr>
      <w:tblStyleRowBandSize w:val="1"/>
      <w:tblStyleColBandSize w:val="1"/>
      <w:tblInd w:w="0" w:type="dxa"/>
      <w:tblBorders>
        <w:top w:val="single" w:sz="8" w:space="0" w:color="242EA8"/>
        <w:left w:val="single" w:sz="8" w:space="0" w:color="242EA8"/>
        <w:bottom w:val="single" w:sz="8" w:space="0" w:color="242EA8"/>
        <w:right w:val="single" w:sz="8" w:space="0" w:color="242EA8"/>
        <w:insideH w:val="single" w:sz="8" w:space="0" w:color="242EA8"/>
      </w:tblBorders>
      <w:tblCellMar>
        <w:top w:w="0" w:type="dxa"/>
        <w:left w:w="108" w:type="dxa"/>
        <w:bottom w:w="0" w:type="dxa"/>
        <w:right w:w="108" w:type="dxa"/>
      </w:tblCellMar>
    </w:tblPr>
  </w:style>
  <w:style w:type="table" w:customStyle="1" w:styleId="MediumShading1-Accent21">
    <w:name w:val="Medium Shading 1 - Accent 21"/>
    <w:uiPriority w:val="99"/>
    <w:semiHidden/>
    <w:locked/>
    <w:rsid w:val="001018A1"/>
    <w:rPr>
      <w:sz w:val="20"/>
      <w:szCs w:val="20"/>
      <w:lang w:val="sr-Latn-CS" w:eastAsia="sr-Latn-CS"/>
    </w:rPr>
    <w:tblPr>
      <w:tblStyleRowBandSize w:val="1"/>
      <w:tblStyleColBandSize w:val="1"/>
      <w:tblInd w:w="0" w:type="dxa"/>
      <w:tblBorders>
        <w:top w:val="single" w:sz="8" w:space="0" w:color="3CAEEC"/>
        <w:left w:val="single" w:sz="8" w:space="0" w:color="3CAEEC"/>
        <w:bottom w:val="single" w:sz="8" w:space="0" w:color="3CAEEC"/>
        <w:right w:val="single" w:sz="8" w:space="0" w:color="3CAEEC"/>
        <w:insideH w:val="single" w:sz="8" w:space="0" w:color="3CAEEC"/>
      </w:tblBorders>
      <w:tblCellMar>
        <w:top w:w="0" w:type="dxa"/>
        <w:left w:w="108" w:type="dxa"/>
        <w:bottom w:w="0" w:type="dxa"/>
        <w:right w:w="108" w:type="dxa"/>
      </w:tblCellMar>
    </w:tblPr>
  </w:style>
  <w:style w:type="table" w:customStyle="1" w:styleId="MediumShading1-Accent31">
    <w:name w:val="Medium Shading 1 - Accent 31"/>
    <w:uiPriority w:val="99"/>
    <w:semiHidden/>
    <w:locked/>
    <w:rsid w:val="001018A1"/>
    <w:rPr>
      <w:sz w:val="20"/>
      <w:szCs w:val="20"/>
      <w:lang w:val="sr-Latn-CS" w:eastAsia="sr-Latn-CS"/>
    </w:rPr>
    <w:tblPr>
      <w:tblStyleRowBandSize w:val="1"/>
      <w:tblStyleColBandSize w:val="1"/>
      <w:tblInd w:w="0" w:type="dxa"/>
      <w:tblBorders>
        <w:top w:val="single" w:sz="8" w:space="0" w:color="AECBEA"/>
        <w:left w:val="single" w:sz="8" w:space="0" w:color="AECBEA"/>
        <w:bottom w:val="single" w:sz="8" w:space="0" w:color="AECBEA"/>
        <w:right w:val="single" w:sz="8" w:space="0" w:color="AECBEA"/>
        <w:insideH w:val="single" w:sz="8" w:space="0" w:color="AECBEA"/>
      </w:tblBorders>
      <w:tblCellMar>
        <w:top w:w="0" w:type="dxa"/>
        <w:left w:w="108" w:type="dxa"/>
        <w:bottom w:w="0" w:type="dxa"/>
        <w:right w:w="108" w:type="dxa"/>
      </w:tblCellMar>
    </w:tblPr>
  </w:style>
  <w:style w:type="table" w:customStyle="1" w:styleId="MediumShading1-Accent41">
    <w:name w:val="Medium Shading 1 - Accent 41"/>
    <w:uiPriority w:val="99"/>
    <w:semiHidden/>
    <w:locked/>
    <w:rsid w:val="001018A1"/>
    <w:rPr>
      <w:sz w:val="20"/>
      <w:szCs w:val="20"/>
      <w:lang w:val="sr-Latn-CS" w:eastAsia="sr-Latn-CS"/>
    </w:rPr>
    <w:tblPr>
      <w:tblStyleRowBandSize w:val="1"/>
      <w:tblStyleColBandSize w:val="1"/>
      <w:tblInd w:w="0" w:type="dxa"/>
      <w:tblBorders>
        <w:top w:val="single" w:sz="8" w:space="0" w:color="9FE03B"/>
        <w:left w:val="single" w:sz="8" w:space="0" w:color="9FE03B"/>
        <w:bottom w:val="single" w:sz="8" w:space="0" w:color="9FE03B"/>
        <w:right w:val="single" w:sz="8" w:space="0" w:color="9FE03B"/>
        <w:insideH w:val="single" w:sz="8" w:space="0" w:color="9FE03B"/>
      </w:tblBorders>
      <w:tblCellMar>
        <w:top w:w="0" w:type="dxa"/>
        <w:left w:w="108" w:type="dxa"/>
        <w:bottom w:w="0" w:type="dxa"/>
        <w:right w:w="108" w:type="dxa"/>
      </w:tblCellMar>
    </w:tblPr>
  </w:style>
  <w:style w:type="table" w:customStyle="1" w:styleId="MediumShading1-Accent51">
    <w:name w:val="Medium Shading 1 - Accent 51"/>
    <w:uiPriority w:val="99"/>
    <w:semiHidden/>
    <w:locked/>
    <w:rsid w:val="001018A1"/>
    <w:rPr>
      <w:sz w:val="20"/>
      <w:szCs w:val="20"/>
      <w:lang w:val="sr-Latn-CS" w:eastAsia="sr-Latn-CS"/>
    </w:rPr>
    <w:tblPr>
      <w:tblStyleRowBandSize w:val="1"/>
      <w:tblStyleColBandSize w:val="1"/>
      <w:tblInd w:w="0" w:type="dxa"/>
      <w:tblBorders>
        <w:top w:val="single" w:sz="8" w:space="0" w:color="DAF91F"/>
        <w:left w:val="single" w:sz="8" w:space="0" w:color="DAF91F"/>
        <w:bottom w:val="single" w:sz="8" w:space="0" w:color="DAF91F"/>
        <w:right w:val="single" w:sz="8" w:space="0" w:color="DAF91F"/>
        <w:insideH w:val="single" w:sz="8" w:space="0" w:color="DAF91F"/>
      </w:tblBorders>
      <w:tblCellMar>
        <w:top w:w="0" w:type="dxa"/>
        <w:left w:w="108" w:type="dxa"/>
        <w:bottom w:w="0" w:type="dxa"/>
        <w:right w:w="108" w:type="dxa"/>
      </w:tblCellMar>
    </w:tblPr>
  </w:style>
  <w:style w:type="table" w:customStyle="1" w:styleId="MediumShading1-Accent61">
    <w:name w:val="Medium Shading 1 - Accent 61"/>
    <w:uiPriority w:val="99"/>
    <w:semiHidden/>
    <w:locked/>
    <w:rsid w:val="001018A1"/>
    <w:rPr>
      <w:sz w:val="20"/>
      <w:szCs w:val="20"/>
      <w:lang w:val="sr-Latn-CS" w:eastAsia="sr-Latn-CS"/>
    </w:rPr>
    <w:tblPr>
      <w:tblStyleRowBandSize w:val="1"/>
      <w:tblStyleColBandSize w:val="1"/>
      <w:tblInd w:w="0" w:type="dxa"/>
      <w:tblBorders>
        <w:top w:val="single" w:sz="8" w:space="0" w:color="FFAF37"/>
        <w:left w:val="single" w:sz="8" w:space="0" w:color="FFAF37"/>
        <w:bottom w:val="single" w:sz="8" w:space="0" w:color="FFAF37"/>
        <w:right w:val="single" w:sz="8" w:space="0" w:color="FFAF37"/>
        <w:insideH w:val="single" w:sz="8" w:space="0" w:color="FFAF37"/>
      </w:tblBorders>
      <w:tblCellMar>
        <w:top w:w="0" w:type="dxa"/>
        <w:left w:w="108" w:type="dxa"/>
        <w:bottom w:w="0" w:type="dxa"/>
        <w:right w:w="108" w:type="dxa"/>
      </w:tblCellMar>
    </w:tblPr>
  </w:style>
  <w:style w:type="table" w:customStyle="1" w:styleId="MittlereSchattierung211">
    <w:name w:val="Mittlere Schattierung 21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111">
    <w:name w:val="Mittlere Schattierung 2 - Akzent 11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21">
    <w:name w:val="Medium Shading 2 - Accent 2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31">
    <w:name w:val="Medium Shading 2 - Accent 3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41">
    <w:name w:val="Medium Shading 2 - Accent 4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51">
    <w:name w:val="Medium Shading 2 - Accent 5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61">
    <w:name w:val="Medium Shading 2 - Accent 6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Liste111">
    <w:name w:val="Mittlere Liste 11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ittlereListe1-Akzent111">
    <w:name w:val="Mittlere Liste 1 - Akzent 111"/>
    <w:uiPriority w:val="99"/>
    <w:semiHidden/>
    <w:locked/>
    <w:rsid w:val="001018A1"/>
    <w:rPr>
      <w:color w:val="000000"/>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MediumList1-Accent21">
    <w:name w:val="Medium List 1 - Accent 21"/>
    <w:uiPriority w:val="99"/>
    <w:semiHidden/>
    <w:locked/>
    <w:rsid w:val="001018A1"/>
    <w:rPr>
      <w:color w:val="000000"/>
      <w:sz w:val="20"/>
      <w:szCs w:val="20"/>
      <w:lang w:val="sr-Latn-CS" w:eastAsia="sr-Latn-CS"/>
    </w:rPr>
    <w:tblPr>
      <w:tblStyleRowBandSize w:val="1"/>
      <w:tblStyleColBandSize w:val="1"/>
      <w:tblInd w:w="0" w:type="dxa"/>
      <w:tblBorders>
        <w:top w:val="single" w:sz="8" w:space="0" w:color="148DCD"/>
        <w:bottom w:val="single" w:sz="8" w:space="0" w:color="148DCD"/>
      </w:tblBorders>
      <w:tblCellMar>
        <w:top w:w="0" w:type="dxa"/>
        <w:left w:w="108" w:type="dxa"/>
        <w:bottom w:w="0" w:type="dxa"/>
        <w:right w:w="108" w:type="dxa"/>
      </w:tblCellMar>
    </w:tblPr>
  </w:style>
  <w:style w:type="table" w:customStyle="1" w:styleId="MediumList1-Accent31">
    <w:name w:val="Medium List 1 - Accent 31"/>
    <w:uiPriority w:val="99"/>
    <w:semiHidden/>
    <w:locked/>
    <w:rsid w:val="001018A1"/>
    <w:rPr>
      <w:color w:val="000000"/>
      <w:sz w:val="20"/>
      <w:szCs w:val="20"/>
      <w:lang w:val="sr-Latn-CS" w:eastAsia="sr-Latn-CS"/>
    </w:rPr>
    <w:tblPr>
      <w:tblStyleRowBandSize w:val="1"/>
      <w:tblStyleColBandSize w:val="1"/>
      <w:tblInd w:w="0" w:type="dxa"/>
      <w:tblBorders>
        <w:top w:val="single" w:sz="8" w:space="0" w:color="94BAE3"/>
        <w:bottom w:val="single" w:sz="8" w:space="0" w:color="94BAE3"/>
      </w:tblBorders>
      <w:tblCellMar>
        <w:top w:w="0" w:type="dxa"/>
        <w:left w:w="108" w:type="dxa"/>
        <w:bottom w:w="0" w:type="dxa"/>
        <w:right w:w="108" w:type="dxa"/>
      </w:tblCellMar>
    </w:tblPr>
  </w:style>
  <w:style w:type="table" w:customStyle="1" w:styleId="MediumList1-Accent41">
    <w:name w:val="Medium List 1 - Accent 41"/>
    <w:uiPriority w:val="99"/>
    <w:semiHidden/>
    <w:locked/>
    <w:rsid w:val="001018A1"/>
    <w:rPr>
      <w:color w:val="000000"/>
      <w:sz w:val="20"/>
      <w:szCs w:val="20"/>
      <w:lang w:val="sr-Latn-CS" w:eastAsia="sr-Latn-CS"/>
    </w:rPr>
    <w:tblPr>
      <w:tblStyleRowBandSize w:val="1"/>
      <w:tblStyleColBandSize w:val="1"/>
      <w:tblInd w:w="0" w:type="dxa"/>
      <w:tblBorders>
        <w:top w:val="single" w:sz="8" w:space="0" w:color="79B51C"/>
        <w:bottom w:val="single" w:sz="8" w:space="0" w:color="79B51C"/>
      </w:tblBorders>
      <w:tblCellMar>
        <w:top w:w="0" w:type="dxa"/>
        <w:left w:w="108" w:type="dxa"/>
        <w:bottom w:w="0" w:type="dxa"/>
        <w:right w:w="108" w:type="dxa"/>
      </w:tblCellMar>
    </w:tblPr>
  </w:style>
  <w:style w:type="table" w:customStyle="1" w:styleId="MediumList1-Accent51">
    <w:name w:val="Medium List 1 - Accent 51"/>
    <w:uiPriority w:val="99"/>
    <w:semiHidden/>
    <w:locked/>
    <w:rsid w:val="001018A1"/>
    <w:rPr>
      <w:color w:val="000000"/>
      <w:sz w:val="20"/>
      <w:szCs w:val="20"/>
      <w:lang w:val="sr-Latn-CS" w:eastAsia="sr-Latn-CS"/>
    </w:rPr>
    <w:tblPr>
      <w:tblStyleRowBandSize w:val="1"/>
      <w:tblStyleColBandSize w:val="1"/>
      <w:tblInd w:w="0" w:type="dxa"/>
      <w:tblBorders>
        <w:top w:val="single" w:sz="8" w:space="0" w:color="ACC705"/>
        <w:bottom w:val="single" w:sz="8" w:space="0" w:color="ACC705"/>
      </w:tblBorders>
      <w:tblCellMar>
        <w:top w:w="0" w:type="dxa"/>
        <w:left w:w="108" w:type="dxa"/>
        <w:bottom w:w="0" w:type="dxa"/>
        <w:right w:w="108" w:type="dxa"/>
      </w:tblCellMar>
    </w:tblPr>
  </w:style>
  <w:style w:type="table" w:customStyle="1" w:styleId="MediumList1-Accent61">
    <w:name w:val="Medium List 1 - Accent 61"/>
    <w:uiPriority w:val="99"/>
    <w:semiHidden/>
    <w:locked/>
    <w:rsid w:val="001018A1"/>
    <w:rPr>
      <w:color w:val="000000"/>
      <w:sz w:val="20"/>
      <w:szCs w:val="20"/>
      <w:lang w:val="sr-Latn-CS" w:eastAsia="sr-Latn-CS"/>
    </w:rPr>
    <w:tblPr>
      <w:tblStyleRowBandSize w:val="1"/>
      <w:tblStyleColBandSize w:val="1"/>
      <w:tblInd w:w="0" w:type="dxa"/>
      <w:tblBorders>
        <w:top w:val="single" w:sz="8" w:space="0" w:color="F39200"/>
        <w:bottom w:val="single" w:sz="8" w:space="0" w:color="F39200"/>
      </w:tblBorders>
      <w:tblCellMar>
        <w:top w:w="0" w:type="dxa"/>
        <w:left w:w="108" w:type="dxa"/>
        <w:bottom w:w="0" w:type="dxa"/>
        <w:right w:w="108" w:type="dxa"/>
      </w:tblCellMar>
    </w:tblPr>
  </w:style>
  <w:style w:type="table" w:customStyle="1" w:styleId="MittlereListe211">
    <w:name w:val="Mittlere Liste 21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List2-Accent11">
    <w:name w:val="Medium List 2 - Accent 11"/>
    <w:uiPriority w:val="99"/>
    <w:semiHidden/>
    <w:locked/>
    <w:rsid w:val="001018A1"/>
    <w:rPr>
      <w:color w:val="000000"/>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tblBorders>
      <w:tblCellMar>
        <w:top w:w="0" w:type="dxa"/>
        <w:left w:w="108" w:type="dxa"/>
        <w:bottom w:w="0" w:type="dxa"/>
        <w:right w:w="108" w:type="dxa"/>
      </w:tblCellMar>
    </w:tblPr>
  </w:style>
  <w:style w:type="table" w:customStyle="1" w:styleId="MediumList2-Accent21">
    <w:name w:val="Medium List 2 - Accent 21"/>
    <w:uiPriority w:val="99"/>
    <w:semiHidden/>
    <w:locked/>
    <w:rsid w:val="001018A1"/>
    <w:rPr>
      <w:color w:val="000000"/>
      <w:sz w:val="20"/>
      <w:szCs w:val="20"/>
      <w:lang w:val="sr-Latn-CS" w:eastAsia="sr-Latn-CS"/>
    </w:rPr>
    <w:tblPr>
      <w:tblStyleRowBandSize w:val="1"/>
      <w:tblStyleColBandSize w:val="1"/>
      <w:tblInd w:w="0" w:type="dxa"/>
      <w:tblBorders>
        <w:top w:val="single" w:sz="8" w:space="0" w:color="148DCD"/>
        <w:left w:val="single" w:sz="8" w:space="0" w:color="148DCD"/>
        <w:bottom w:val="single" w:sz="8" w:space="0" w:color="148DCD"/>
        <w:right w:val="single" w:sz="8" w:space="0" w:color="148DCD"/>
      </w:tblBorders>
      <w:tblCellMar>
        <w:top w:w="0" w:type="dxa"/>
        <w:left w:w="108" w:type="dxa"/>
        <w:bottom w:w="0" w:type="dxa"/>
        <w:right w:w="108" w:type="dxa"/>
      </w:tblCellMar>
    </w:tblPr>
  </w:style>
  <w:style w:type="table" w:customStyle="1" w:styleId="MediumList2-Accent31">
    <w:name w:val="Medium List 2 - Accent 31"/>
    <w:uiPriority w:val="99"/>
    <w:semiHidden/>
    <w:locked/>
    <w:rsid w:val="001018A1"/>
    <w:rPr>
      <w:color w:val="000000"/>
      <w:sz w:val="20"/>
      <w:szCs w:val="20"/>
      <w:lang w:val="sr-Latn-CS" w:eastAsia="sr-Latn-CS"/>
    </w:rPr>
    <w:tblPr>
      <w:tblStyleRowBandSize w:val="1"/>
      <w:tblStyleColBandSize w:val="1"/>
      <w:tblInd w:w="0" w:type="dxa"/>
      <w:tblBorders>
        <w:top w:val="single" w:sz="8" w:space="0" w:color="94BAE3"/>
        <w:left w:val="single" w:sz="8" w:space="0" w:color="94BAE3"/>
        <w:bottom w:val="single" w:sz="8" w:space="0" w:color="94BAE3"/>
        <w:right w:val="single" w:sz="8" w:space="0" w:color="94BAE3"/>
      </w:tblBorders>
      <w:tblCellMar>
        <w:top w:w="0" w:type="dxa"/>
        <w:left w:w="108" w:type="dxa"/>
        <w:bottom w:w="0" w:type="dxa"/>
        <w:right w:w="108" w:type="dxa"/>
      </w:tblCellMar>
    </w:tblPr>
  </w:style>
  <w:style w:type="table" w:customStyle="1" w:styleId="MediumList2-Accent41">
    <w:name w:val="Medium List 2 - Accent 41"/>
    <w:uiPriority w:val="99"/>
    <w:semiHidden/>
    <w:locked/>
    <w:rsid w:val="001018A1"/>
    <w:rPr>
      <w:color w:val="000000"/>
      <w:sz w:val="20"/>
      <w:szCs w:val="20"/>
      <w:lang w:val="sr-Latn-CS" w:eastAsia="sr-Latn-CS"/>
    </w:rPr>
    <w:tblPr>
      <w:tblStyleRowBandSize w:val="1"/>
      <w:tblStyleColBandSize w:val="1"/>
      <w:tblInd w:w="0" w:type="dxa"/>
      <w:tblBorders>
        <w:top w:val="single" w:sz="8" w:space="0" w:color="79B51C"/>
        <w:left w:val="single" w:sz="8" w:space="0" w:color="79B51C"/>
        <w:bottom w:val="single" w:sz="8" w:space="0" w:color="79B51C"/>
        <w:right w:val="single" w:sz="8" w:space="0" w:color="79B51C"/>
      </w:tblBorders>
      <w:tblCellMar>
        <w:top w:w="0" w:type="dxa"/>
        <w:left w:w="108" w:type="dxa"/>
        <w:bottom w:w="0" w:type="dxa"/>
        <w:right w:w="108" w:type="dxa"/>
      </w:tblCellMar>
    </w:tblPr>
  </w:style>
  <w:style w:type="table" w:customStyle="1" w:styleId="MediumList2-Accent51">
    <w:name w:val="Medium List 2 - Accent 51"/>
    <w:uiPriority w:val="99"/>
    <w:semiHidden/>
    <w:locked/>
    <w:rsid w:val="001018A1"/>
    <w:rPr>
      <w:color w:val="000000"/>
      <w:sz w:val="20"/>
      <w:szCs w:val="20"/>
      <w:lang w:val="sr-Latn-CS" w:eastAsia="sr-Latn-CS"/>
    </w:rPr>
    <w:tblPr>
      <w:tblStyleRowBandSize w:val="1"/>
      <w:tblStyleColBandSize w:val="1"/>
      <w:tblInd w:w="0" w:type="dxa"/>
      <w:tblBorders>
        <w:top w:val="single" w:sz="8" w:space="0" w:color="ACC705"/>
        <w:left w:val="single" w:sz="8" w:space="0" w:color="ACC705"/>
        <w:bottom w:val="single" w:sz="8" w:space="0" w:color="ACC705"/>
        <w:right w:val="single" w:sz="8" w:space="0" w:color="ACC705"/>
      </w:tblBorders>
      <w:tblCellMar>
        <w:top w:w="0" w:type="dxa"/>
        <w:left w:w="108" w:type="dxa"/>
        <w:bottom w:w="0" w:type="dxa"/>
        <w:right w:w="108" w:type="dxa"/>
      </w:tblCellMar>
    </w:tblPr>
  </w:style>
  <w:style w:type="table" w:customStyle="1" w:styleId="MediumList2-Accent61">
    <w:name w:val="Medium List 2 - Accent 61"/>
    <w:uiPriority w:val="99"/>
    <w:semiHidden/>
    <w:locked/>
    <w:rsid w:val="001018A1"/>
    <w:rPr>
      <w:color w:val="000000"/>
      <w:sz w:val="20"/>
      <w:szCs w:val="20"/>
      <w:lang w:val="sr-Latn-CS" w:eastAsia="sr-Latn-CS"/>
    </w:rPr>
    <w:tblPr>
      <w:tblStyleRowBandSize w:val="1"/>
      <w:tblStyleColBandSize w:val="1"/>
      <w:tblInd w:w="0" w:type="dxa"/>
      <w:tblBorders>
        <w:top w:val="single" w:sz="8" w:space="0" w:color="F39200"/>
        <w:left w:val="single" w:sz="8" w:space="0" w:color="F39200"/>
        <w:bottom w:val="single" w:sz="8" w:space="0" w:color="F39200"/>
        <w:right w:val="single" w:sz="8" w:space="0" w:color="F39200"/>
      </w:tblBorders>
      <w:tblCellMar>
        <w:top w:w="0" w:type="dxa"/>
        <w:left w:w="108" w:type="dxa"/>
        <w:bottom w:w="0" w:type="dxa"/>
        <w:right w:w="108" w:type="dxa"/>
      </w:tblCellMar>
    </w:tblPr>
  </w:style>
  <w:style w:type="table" w:customStyle="1" w:styleId="MittleresRaster111">
    <w:name w:val="Mittleres Raster 111"/>
    <w:uiPriority w:val="99"/>
    <w:semiHidden/>
    <w:locked/>
    <w:rsid w:val="001018A1"/>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11">
    <w:name w:val="Medium Grid 1 - Accent 11"/>
    <w:uiPriority w:val="99"/>
    <w:semiHidden/>
    <w:locked/>
    <w:rsid w:val="001018A1"/>
    <w:rPr>
      <w:sz w:val="20"/>
      <w:szCs w:val="20"/>
      <w:lang w:val="sr-Latn-CS" w:eastAsia="sr-Latn-CS"/>
    </w:rPr>
    <w:tblPr>
      <w:tblStyleRowBandSize w:val="1"/>
      <w:tblStyleColBandSize w:val="1"/>
      <w:tblInd w:w="0" w:type="dxa"/>
      <w:tblBorders>
        <w:top w:val="single" w:sz="8" w:space="0" w:color="242EA8"/>
        <w:left w:val="single" w:sz="8" w:space="0" w:color="242EA8"/>
        <w:bottom w:val="single" w:sz="8" w:space="0" w:color="242EA8"/>
        <w:right w:val="single" w:sz="8" w:space="0" w:color="242EA8"/>
        <w:insideH w:val="single" w:sz="8" w:space="0" w:color="242EA8"/>
        <w:insideV w:val="single" w:sz="8" w:space="0" w:color="242EA8"/>
      </w:tblBorders>
      <w:tblCellMar>
        <w:top w:w="0" w:type="dxa"/>
        <w:left w:w="108" w:type="dxa"/>
        <w:bottom w:w="0" w:type="dxa"/>
        <w:right w:w="108" w:type="dxa"/>
      </w:tblCellMar>
    </w:tblPr>
    <w:tcPr>
      <w:shd w:val="clear" w:color="auto" w:fill="ABB0ED"/>
    </w:tcPr>
  </w:style>
  <w:style w:type="table" w:customStyle="1" w:styleId="MediumGrid1-Accent21">
    <w:name w:val="Medium Grid 1 - Accent 21"/>
    <w:uiPriority w:val="99"/>
    <w:semiHidden/>
    <w:locked/>
    <w:rsid w:val="001018A1"/>
    <w:rPr>
      <w:sz w:val="20"/>
      <w:szCs w:val="20"/>
      <w:lang w:val="sr-Latn-CS" w:eastAsia="sr-Latn-CS"/>
    </w:rPr>
    <w:tblPr>
      <w:tblStyleRowBandSize w:val="1"/>
      <w:tblStyleColBandSize w:val="1"/>
      <w:tblInd w:w="0" w:type="dxa"/>
      <w:tblBorders>
        <w:top w:val="single" w:sz="8" w:space="0" w:color="3CAEEC"/>
        <w:left w:val="single" w:sz="8" w:space="0" w:color="3CAEEC"/>
        <w:bottom w:val="single" w:sz="8" w:space="0" w:color="3CAEEC"/>
        <w:right w:val="single" w:sz="8" w:space="0" w:color="3CAEEC"/>
        <w:insideH w:val="single" w:sz="8" w:space="0" w:color="3CAEEC"/>
        <w:insideV w:val="single" w:sz="8" w:space="0" w:color="3CAEEC"/>
      </w:tblBorders>
      <w:tblCellMar>
        <w:top w:w="0" w:type="dxa"/>
        <w:left w:w="108" w:type="dxa"/>
        <w:bottom w:w="0" w:type="dxa"/>
        <w:right w:w="108" w:type="dxa"/>
      </w:tblCellMar>
    </w:tblPr>
    <w:tcPr>
      <w:shd w:val="clear" w:color="auto" w:fill="BEE4F8"/>
    </w:tcPr>
  </w:style>
  <w:style w:type="table" w:customStyle="1" w:styleId="MediumGrid1-Accent31">
    <w:name w:val="Medium Grid 1 - Accent 31"/>
    <w:uiPriority w:val="99"/>
    <w:semiHidden/>
    <w:locked/>
    <w:rsid w:val="001018A1"/>
    <w:rPr>
      <w:sz w:val="20"/>
      <w:szCs w:val="20"/>
      <w:lang w:val="sr-Latn-CS" w:eastAsia="sr-Latn-CS"/>
    </w:rPr>
    <w:tblPr>
      <w:tblStyleRowBandSize w:val="1"/>
      <w:tblStyleColBandSize w:val="1"/>
      <w:tblInd w:w="0" w:type="dxa"/>
      <w:tblBorders>
        <w:top w:val="single" w:sz="8" w:space="0" w:color="AECBEA"/>
        <w:left w:val="single" w:sz="8" w:space="0" w:color="AECBEA"/>
        <w:bottom w:val="single" w:sz="8" w:space="0" w:color="AECBEA"/>
        <w:right w:val="single" w:sz="8" w:space="0" w:color="AECBEA"/>
        <w:insideH w:val="single" w:sz="8" w:space="0" w:color="AECBEA"/>
        <w:insideV w:val="single" w:sz="8" w:space="0" w:color="AECBEA"/>
      </w:tblBorders>
      <w:tblCellMar>
        <w:top w:w="0" w:type="dxa"/>
        <w:left w:w="108" w:type="dxa"/>
        <w:bottom w:w="0" w:type="dxa"/>
        <w:right w:w="108" w:type="dxa"/>
      </w:tblCellMar>
    </w:tblPr>
    <w:tcPr>
      <w:shd w:val="clear" w:color="auto" w:fill="E4EDF8"/>
    </w:tcPr>
  </w:style>
  <w:style w:type="table" w:customStyle="1" w:styleId="MediumGrid1-Accent41">
    <w:name w:val="Medium Grid 1 - Accent 41"/>
    <w:uiPriority w:val="99"/>
    <w:semiHidden/>
    <w:locked/>
    <w:rsid w:val="001018A1"/>
    <w:rPr>
      <w:sz w:val="20"/>
      <w:szCs w:val="20"/>
      <w:lang w:val="sr-Latn-CS" w:eastAsia="sr-Latn-CS"/>
    </w:rPr>
    <w:tblPr>
      <w:tblStyleRowBandSize w:val="1"/>
      <w:tblStyleColBandSize w:val="1"/>
      <w:tblInd w:w="0" w:type="dxa"/>
      <w:tblBorders>
        <w:top w:val="single" w:sz="8" w:space="0" w:color="9FE03B"/>
        <w:left w:val="single" w:sz="8" w:space="0" w:color="9FE03B"/>
        <w:bottom w:val="single" w:sz="8" w:space="0" w:color="9FE03B"/>
        <w:right w:val="single" w:sz="8" w:space="0" w:color="9FE03B"/>
        <w:insideH w:val="single" w:sz="8" w:space="0" w:color="9FE03B"/>
        <w:insideV w:val="single" w:sz="8" w:space="0" w:color="9FE03B"/>
      </w:tblBorders>
      <w:tblCellMar>
        <w:top w:w="0" w:type="dxa"/>
        <w:left w:w="108" w:type="dxa"/>
        <w:bottom w:w="0" w:type="dxa"/>
        <w:right w:w="108" w:type="dxa"/>
      </w:tblCellMar>
    </w:tblPr>
    <w:tcPr>
      <w:shd w:val="clear" w:color="auto" w:fill="DFF5BE"/>
    </w:tcPr>
  </w:style>
  <w:style w:type="table" w:customStyle="1" w:styleId="MediumGrid1-Accent51">
    <w:name w:val="Medium Grid 1 - Accent 51"/>
    <w:uiPriority w:val="99"/>
    <w:semiHidden/>
    <w:locked/>
    <w:rsid w:val="001018A1"/>
    <w:rPr>
      <w:sz w:val="20"/>
      <w:szCs w:val="20"/>
      <w:lang w:val="sr-Latn-CS" w:eastAsia="sr-Latn-CS"/>
    </w:rPr>
    <w:tblPr>
      <w:tblStyleRowBandSize w:val="1"/>
      <w:tblStyleColBandSize w:val="1"/>
      <w:tblInd w:w="0" w:type="dxa"/>
      <w:tblBorders>
        <w:top w:val="single" w:sz="8" w:space="0" w:color="DAF91F"/>
        <w:left w:val="single" w:sz="8" w:space="0" w:color="DAF91F"/>
        <w:bottom w:val="single" w:sz="8" w:space="0" w:color="DAF91F"/>
        <w:right w:val="single" w:sz="8" w:space="0" w:color="DAF91F"/>
        <w:insideH w:val="single" w:sz="8" w:space="0" w:color="DAF91F"/>
        <w:insideV w:val="single" w:sz="8" w:space="0" w:color="DAF91F"/>
      </w:tblBorders>
      <w:tblCellMar>
        <w:top w:w="0" w:type="dxa"/>
        <w:left w:w="108" w:type="dxa"/>
        <w:bottom w:w="0" w:type="dxa"/>
        <w:right w:w="108" w:type="dxa"/>
      </w:tblCellMar>
    </w:tblPr>
    <w:tcPr>
      <w:shd w:val="clear" w:color="auto" w:fill="F3FDB5"/>
    </w:tcPr>
  </w:style>
  <w:style w:type="table" w:customStyle="1" w:styleId="MediumGrid1-Accent61">
    <w:name w:val="Medium Grid 1 - Accent 61"/>
    <w:uiPriority w:val="99"/>
    <w:semiHidden/>
    <w:locked/>
    <w:rsid w:val="001018A1"/>
    <w:rPr>
      <w:sz w:val="20"/>
      <w:szCs w:val="20"/>
      <w:lang w:val="sr-Latn-CS" w:eastAsia="sr-Latn-CS"/>
    </w:rPr>
    <w:tblPr>
      <w:tblStyleRowBandSize w:val="1"/>
      <w:tblStyleColBandSize w:val="1"/>
      <w:tblInd w:w="0" w:type="dxa"/>
      <w:tblBorders>
        <w:top w:val="single" w:sz="8" w:space="0" w:color="FFAF37"/>
        <w:left w:val="single" w:sz="8" w:space="0" w:color="FFAF37"/>
        <w:bottom w:val="single" w:sz="8" w:space="0" w:color="FFAF37"/>
        <w:right w:val="single" w:sz="8" w:space="0" w:color="FFAF37"/>
        <w:insideH w:val="single" w:sz="8" w:space="0" w:color="FFAF37"/>
        <w:insideV w:val="single" w:sz="8" w:space="0" w:color="FFAF37"/>
      </w:tblBorders>
      <w:tblCellMar>
        <w:top w:w="0" w:type="dxa"/>
        <w:left w:w="108" w:type="dxa"/>
        <w:bottom w:w="0" w:type="dxa"/>
        <w:right w:w="108" w:type="dxa"/>
      </w:tblCellMar>
    </w:tblPr>
    <w:tcPr>
      <w:shd w:val="clear" w:color="auto" w:fill="FFE4BD"/>
    </w:tcPr>
  </w:style>
  <w:style w:type="table" w:customStyle="1" w:styleId="MittleresRaster211">
    <w:name w:val="Mittleres Raster 21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2-Accent11">
    <w:name w:val="Medium Grid 2 - Accent 11"/>
    <w:uiPriority w:val="99"/>
    <w:semiHidden/>
    <w:locked/>
    <w:rsid w:val="001018A1"/>
    <w:rPr>
      <w:color w:val="000000"/>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insideH w:val="single" w:sz="8" w:space="0" w:color="121754"/>
        <w:insideV w:val="single" w:sz="8" w:space="0" w:color="121754"/>
      </w:tblBorders>
      <w:tblCellMar>
        <w:top w:w="0" w:type="dxa"/>
        <w:left w:w="108" w:type="dxa"/>
        <w:bottom w:w="0" w:type="dxa"/>
        <w:right w:w="108" w:type="dxa"/>
      </w:tblCellMar>
    </w:tblPr>
    <w:tcPr>
      <w:shd w:val="clear" w:color="auto" w:fill="ABB0ED"/>
    </w:tcPr>
  </w:style>
  <w:style w:type="table" w:customStyle="1" w:styleId="MediumGrid2-Accent21">
    <w:name w:val="Medium Grid 2 - Accent 21"/>
    <w:uiPriority w:val="99"/>
    <w:semiHidden/>
    <w:locked/>
    <w:rsid w:val="001018A1"/>
    <w:rPr>
      <w:color w:val="000000"/>
      <w:sz w:val="20"/>
      <w:szCs w:val="20"/>
      <w:lang w:val="sr-Latn-CS" w:eastAsia="sr-Latn-CS"/>
    </w:rPr>
    <w:tblPr>
      <w:tblStyleRowBandSize w:val="1"/>
      <w:tblStyleColBandSize w:val="1"/>
      <w:tblInd w:w="0" w:type="dxa"/>
      <w:tblBorders>
        <w:top w:val="single" w:sz="8" w:space="0" w:color="148DCD"/>
        <w:left w:val="single" w:sz="8" w:space="0" w:color="148DCD"/>
        <w:bottom w:val="single" w:sz="8" w:space="0" w:color="148DCD"/>
        <w:right w:val="single" w:sz="8" w:space="0" w:color="148DCD"/>
        <w:insideH w:val="single" w:sz="8" w:space="0" w:color="148DCD"/>
        <w:insideV w:val="single" w:sz="8" w:space="0" w:color="148DCD"/>
      </w:tblBorders>
      <w:tblCellMar>
        <w:top w:w="0" w:type="dxa"/>
        <w:left w:w="108" w:type="dxa"/>
        <w:bottom w:w="0" w:type="dxa"/>
        <w:right w:w="108" w:type="dxa"/>
      </w:tblCellMar>
    </w:tblPr>
    <w:tcPr>
      <w:shd w:val="clear" w:color="auto" w:fill="BEE4F8"/>
    </w:tcPr>
  </w:style>
  <w:style w:type="table" w:customStyle="1" w:styleId="MediumGrid2-Accent31">
    <w:name w:val="Medium Grid 2 - Accent 31"/>
    <w:uiPriority w:val="99"/>
    <w:semiHidden/>
    <w:locked/>
    <w:rsid w:val="001018A1"/>
    <w:rPr>
      <w:color w:val="000000"/>
      <w:sz w:val="20"/>
      <w:szCs w:val="20"/>
      <w:lang w:val="sr-Latn-CS" w:eastAsia="sr-Latn-CS"/>
    </w:rPr>
    <w:tblPr>
      <w:tblStyleRowBandSize w:val="1"/>
      <w:tblStyleColBandSize w:val="1"/>
      <w:tblInd w:w="0" w:type="dxa"/>
      <w:tblBorders>
        <w:top w:val="single" w:sz="8" w:space="0" w:color="94BAE3"/>
        <w:left w:val="single" w:sz="8" w:space="0" w:color="94BAE3"/>
        <w:bottom w:val="single" w:sz="8" w:space="0" w:color="94BAE3"/>
        <w:right w:val="single" w:sz="8" w:space="0" w:color="94BAE3"/>
        <w:insideH w:val="single" w:sz="8" w:space="0" w:color="94BAE3"/>
        <w:insideV w:val="single" w:sz="8" w:space="0" w:color="94BAE3"/>
      </w:tblBorders>
      <w:tblCellMar>
        <w:top w:w="0" w:type="dxa"/>
        <w:left w:w="108" w:type="dxa"/>
        <w:bottom w:w="0" w:type="dxa"/>
        <w:right w:w="108" w:type="dxa"/>
      </w:tblCellMar>
    </w:tblPr>
    <w:tcPr>
      <w:shd w:val="clear" w:color="auto" w:fill="E4EDF8"/>
    </w:tcPr>
  </w:style>
  <w:style w:type="table" w:customStyle="1" w:styleId="MediumGrid2-Accent41">
    <w:name w:val="Medium Grid 2 - Accent 41"/>
    <w:uiPriority w:val="99"/>
    <w:semiHidden/>
    <w:locked/>
    <w:rsid w:val="001018A1"/>
    <w:rPr>
      <w:color w:val="000000"/>
      <w:sz w:val="20"/>
      <w:szCs w:val="20"/>
      <w:lang w:val="sr-Latn-CS" w:eastAsia="sr-Latn-CS"/>
    </w:rPr>
    <w:tblPr>
      <w:tblStyleRowBandSize w:val="1"/>
      <w:tblStyleColBandSize w:val="1"/>
      <w:tblInd w:w="0" w:type="dxa"/>
      <w:tblBorders>
        <w:top w:val="single" w:sz="8" w:space="0" w:color="79B51C"/>
        <w:left w:val="single" w:sz="8" w:space="0" w:color="79B51C"/>
        <w:bottom w:val="single" w:sz="8" w:space="0" w:color="79B51C"/>
        <w:right w:val="single" w:sz="8" w:space="0" w:color="79B51C"/>
        <w:insideH w:val="single" w:sz="8" w:space="0" w:color="79B51C"/>
        <w:insideV w:val="single" w:sz="8" w:space="0" w:color="79B51C"/>
      </w:tblBorders>
      <w:tblCellMar>
        <w:top w:w="0" w:type="dxa"/>
        <w:left w:w="108" w:type="dxa"/>
        <w:bottom w:w="0" w:type="dxa"/>
        <w:right w:w="108" w:type="dxa"/>
      </w:tblCellMar>
    </w:tblPr>
    <w:tcPr>
      <w:shd w:val="clear" w:color="auto" w:fill="DFF5BE"/>
    </w:tcPr>
  </w:style>
  <w:style w:type="table" w:customStyle="1" w:styleId="MediumGrid2-Accent51">
    <w:name w:val="Medium Grid 2 - Accent 51"/>
    <w:uiPriority w:val="99"/>
    <w:semiHidden/>
    <w:locked/>
    <w:rsid w:val="001018A1"/>
    <w:rPr>
      <w:color w:val="000000"/>
      <w:sz w:val="20"/>
      <w:szCs w:val="20"/>
      <w:lang w:val="sr-Latn-CS" w:eastAsia="sr-Latn-CS"/>
    </w:rPr>
    <w:tblPr>
      <w:tblStyleRowBandSize w:val="1"/>
      <w:tblStyleColBandSize w:val="1"/>
      <w:tblInd w:w="0" w:type="dxa"/>
      <w:tblBorders>
        <w:top w:val="single" w:sz="8" w:space="0" w:color="ACC705"/>
        <w:left w:val="single" w:sz="8" w:space="0" w:color="ACC705"/>
        <w:bottom w:val="single" w:sz="8" w:space="0" w:color="ACC705"/>
        <w:right w:val="single" w:sz="8" w:space="0" w:color="ACC705"/>
        <w:insideH w:val="single" w:sz="8" w:space="0" w:color="ACC705"/>
        <w:insideV w:val="single" w:sz="8" w:space="0" w:color="ACC705"/>
      </w:tblBorders>
      <w:tblCellMar>
        <w:top w:w="0" w:type="dxa"/>
        <w:left w:w="108" w:type="dxa"/>
        <w:bottom w:w="0" w:type="dxa"/>
        <w:right w:w="108" w:type="dxa"/>
      </w:tblCellMar>
    </w:tblPr>
    <w:tcPr>
      <w:shd w:val="clear" w:color="auto" w:fill="F3FDB5"/>
    </w:tcPr>
  </w:style>
  <w:style w:type="table" w:customStyle="1" w:styleId="MediumGrid2-Accent61">
    <w:name w:val="Medium Grid 2 - Accent 61"/>
    <w:uiPriority w:val="99"/>
    <w:semiHidden/>
    <w:locked/>
    <w:rsid w:val="001018A1"/>
    <w:rPr>
      <w:color w:val="000000"/>
      <w:sz w:val="20"/>
      <w:szCs w:val="20"/>
      <w:lang w:val="sr-Latn-CS" w:eastAsia="sr-Latn-CS"/>
    </w:rPr>
    <w:tblPr>
      <w:tblStyleRowBandSize w:val="1"/>
      <w:tblStyleColBandSize w:val="1"/>
      <w:tblInd w:w="0" w:type="dxa"/>
      <w:tblBorders>
        <w:top w:val="single" w:sz="8" w:space="0" w:color="F39200"/>
        <w:left w:val="single" w:sz="8" w:space="0" w:color="F39200"/>
        <w:bottom w:val="single" w:sz="8" w:space="0" w:color="F39200"/>
        <w:right w:val="single" w:sz="8" w:space="0" w:color="F39200"/>
        <w:insideH w:val="single" w:sz="8" w:space="0" w:color="F39200"/>
        <w:insideV w:val="single" w:sz="8" w:space="0" w:color="F39200"/>
      </w:tblBorders>
      <w:tblCellMar>
        <w:top w:w="0" w:type="dxa"/>
        <w:left w:w="108" w:type="dxa"/>
        <w:bottom w:w="0" w:type="dxa"/>
        <w:right w:w="108" w:type="dxa"/>
      </w:tblCellMar>
    </w:tblPr>
    <w:tcPr>
      <w:shd w:val="clear" w:color="auto" w:fill="FFE4BD"/>
    </w:tcPr>
  </w:style>
  <w:style w:type="table" w:customStyle="1" w:styleId="MittleresRaster311">
    <w:name w:val="Mittleres Raster 31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Grid3-Accent11">
    <w:name w:val="Medium Grid 3 - Accent 1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ABB0ED"/>
    </w:tcPr>
  </w:style>
  <w:style w:type="table" w:customStyle="1" w:styleId="MediumGrid3-Accent31">
    <w:name w:val="Medium Grid 3 - Accent 3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4EDF8"/>
    </w:tcPr>
  </w:style>
  <w:style w:type="table" w:customStyle="1" w:styleId="MediumGrid3-Accent41">
    <w:name w:val="Medium Grid 3 - Accent 4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F5BE"/>
    </w:tcPr>
  </w:style>
  <w:style w:type="table" w:customStyle="1" w:styleId="MediumGrid3-Accent51">
    <w:name w:val="Medium Grid 3 - Accent 5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3FDB5"/>
    </w:tcPr>
  </w:style>
  <w:style w:type="table" w:customStyle="1" w:styleId="MediumGrid3-Accent61">
    <w:name w:val="Medium Grid 3 - Accent 6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4BD"/>
    </w:tcPr>
  </w:style>
  <w:style w:type="table" w:customStyle="1" w:styleId="TAB-BLUE-11">
    <w:name w:val="TAB-BLUE-11"/>
    <w:uiPriority w:val="99"/>
    <w:rsid w:val="001018A1"/>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E9F1F9"/>
    </w:tcPr>
  </w:style>
  <w:style w:type="table" w:customStyle="1" w:styleId="TAB-BLUE-21">
    <w:name w:val="TAB-BLUE-21"/>
    <w:uiPriority w:val="99"/>
    <w:rsid w:val="001018A1"/>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E9F1F9"/>
    </w:tcPr>
  </w:style>
  <w:style w:type="table" w:customStyle="1" w:styleId="TableGridLight11">
    <w:name w:val="Table Grid Light11"/>
    <w:uiPriority w:val="99"/>
    <w:rsid w:val="001018A1"/>
    <w:rPr>
      <w:sz w:val="20"/>
      <w:szCs w:val="20"/>
      <w:lang w:val="sr-Latn-CS" w:eastAsia="sr-Latn-C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GOLD1">
    <w:name w:val="TAB-GOLD1"/>
    <w:uiPriority w:val="99"/>
    <w:rsid w:val="001018A1"/>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BF6EB"/>
    </w:tcPr>
  </w:style>
  <w:style w:type="table" w:customStyle="1" w:styleId="TAB-GRAY1">
    <w:name w:val="TAB-GRAY1"/>
    <w:uiPriority w:val="99"/>
    <w:rsid w:val="001018A1"/>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2F2F2"/>
    </w:tcPr>
  </w:style>
  <w:style w:type="table" w:customStyle="1" w:styleId="DunkleListe21">
    <w:name w:val="Dunkle Liste21"/>
    <w:uiPriority w:val="99"/>
    <w:semiHidden/>
    <w:locked/>
    <w:rsid w:val="001018A1"/>
    <w:rPr>
      <w:color w:val="FFFFFF"/>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FarbigeListe21">
    <w:name w:val="Farbige Liste21"/>
    <w:uiPriority w:val="99"/>
    <w:semiHidden/>
    <w:rsid w:val="001018A1"/>
    <w:rPr>
      <w:color w:val="000000"/>
      <w:sz w:val="20"/>
      <w:szCs w:val="20"/>
      <w:lang w:val="sr-Latn-CS" w:eastAsia="sr-Latn-C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FarbigeSchattierung21">
    <w:name w:val="Farbige Schattierung21"/>
    <w:uiPriority w:val="99"/>
    <w:semiHidden/>
    <w:rsid w:val="001018A1"/>
    <w:rPr>
      <w:color w:val="000000"/>
      <w:sz w:val="20"/>
      <w:szCs w:val="20"/>
      <w:lang w:val="sr-Latn-CS" w:eastAsia="sr-Latn-CS"/>
    </w:rPr>
    <w:tblPr>
      <w:tblStyleRowBandSize w:val="1"/>
      <w:tblStyleColBandSize w:val="1"/>
      <w:tblInd w:w="0" w:type="dxa"/>
      <w:tblBorders>
        <w:top w:val="single" w:sz="24" w:space="0" w:color="148DC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FarbigesRaster21">
    <w:name w:val="Farbiges Raster21"/>
    <w:uiPriority w:val="99"/>
    <w:semiHidden/>
    <w:rsid w:val="001018A1"/>
    <w:rPr>
      <w:color w:val="000000"/>
      <w:sz w:val="20"/>
      <w:szCs w:val="20"/>
      <w:lang w:val="sr-Latn-CS" w:eastAsia="sr-Latn-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HelleListe21">
    <w:name w:val="Helle Liste21"/>
    <w:uiPriority w:val="99"/>
    <w:semiHidden/>
    <w:rsid w:val="001018A1"/>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HelleListe-Akzent121">
    <w:name w:val="Helle Liste - Akzent 121"/>
    <w:uiPriority w:val="99"/>
    <w:semiHidden/>
    <w:locked/>
    <w:rsid w:val="001018A1"/>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tblBorders>
      <w:tblCellMar>
        <w:top w:w="0" w:type="dxa"/>
        <w:left w:w="108" w:type="dxa"/>
        <w:bottom w:w="0" w:type="dxa"/>
        <w:right w:w="108" w:type="dxa"/>
      </w:tblCellMar>
    </w:tblPr>
  </w:style>
  <w:style w:type="table" w:customStyle="1" w:styleId="HelleSchattierung21">
    <w:name w:val="Helle Schattierung2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21">
    <w:name w:val="Helle Schattierung - Akzent 121"/>
    <w:uiPriority w:val="99"/>
    <w:semiHidden/>
    <w:locked/>
    <w:rsid w:val="001018A1"/>
    <w:rPr>
      <w:color w:val="0D113E"/>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HellesRaster21">
    <w:name w:val="Helles Raster21"/>
    <w:uiPriority w:val="99"/>
    <w:semiHidden/>
    <w:locked/>
    <w:rsid w:val="001018A1"/>
    <w:rPr>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HellesRaster-Akzent121">
    <w:name w:val="Helles Raster - Akzent 121"/>
    <w:uiPriority w:val="99"/>
    <w:semiHidden/>
    <w:locked/>
    <w:rsid w:val="001018A1"/>
    <w:rPr>
      <w:sz w:val="20"/>
      <w:szCs w:val="20"/>
      <w:lang w:val="sr-Latn-CS" w:eastAsia="sr-Latn-CS"/>
    </w:rPr>
    <w:tblPr>
      <w:tblStyleRowBandSize w:val="1"/>
      <w:tblStyleColBandSize w:val="1"/>
      <w:tblInd w:w="0" w:type="dxa"/>
      <w:tblBorders>
        <w:top w:val="single" w:sz="8" w:space="0" w:color="121754"/>
        <w:left w:val="single" w:sz="8" w:space="0" w:color="121754"/>
        <w:bottom w:val="single" w:sz="8" w:space="0" w:color="121754"/>
        <w:right w:val="single" w:sz="8" w:space="0" w:color="121754"/>
        <w:insideH w:val="single" w:sz="8" w:space="0" w:color="121754"/>
        <w:insideV w:val="single" w:sz="8" w:space="0" w:color="121754"/>
      </w:tblBorders>
      <w:tblCellMar>
        <w:top w:w="0" w:type="dxa"/>
        <w:left w:w="108" w:type="dxa"/>
        <w:bottom w:w="0" w:type="dxa"/>
        <w:right w:w="108" w:type="dxa"/>
      </w:tblCellMar>
    </w:tblPr>
  </w:style>
  <w:style w:type="table" w:customStyle="1" w:styleId="MittlereListe121">
    <w:name w:val="Mittlere Liste 12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ittlereListe1-Akzent121">
    <w:name w:val="Mittlere Liste 1 - Akzent 121"/>
    <w:uiPriority w:val="99"/>
    <w:semiHidden/>
    <w:locked/>
    <w:rsid w:val="001018A1"/>
    <w:rPr>
      <w:color w:val="000000"/>
      <w:sz w:val="20"/>
      <w:szCs w:val="20"/>
      <w:lang w:val="sr-Latn-CS" w:eastAsia="sr-Latn-CS"/>
    </w:rPr>
    <w:tblPr>
      <w:tblStyleRowBandSize w:val="1"/>
      <w:tblStyleColBandSize w:val="1"/>
      <w:tblInd w:w="0" w:type="dxa"/>
      <w:tblBorders>
        <w:top w:val="single" w:sz="8" w:space="0" w:color="121754"/>
        <w:bottom w:val="single" w:sz="8" w:space="0" w:color="121754"/>
      </w:tblBorders>
      <w:tblCellMar>
        <w:top w:w="0" w:type="dxa"/>
        <w:left w:w="108" w:type="dxa"/>
        <w:bottom w:w="0" w:type="dxa"/>
        <w:right w:w="108" w:type="dxa"/>
      </w:tblCellMar>
    </w:tblPr>
  </w:style>
  <w:style w:type="table" w:customStyle="1" w:styleId="MittlereListe221">
    <w:name w:val="Mittlere Liste 22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ittlereSchattierung121">
    <w:name w:val="Mittlere Schattierung 121"/>
    <w:uiPriority w:val="99"/>
    <w:semiHidden/>
    <w:locked/>
    <w:rsid w:val="001018A1"/>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ittlereSchattierung1-Akzent121">
    <w:name w:val="Mittlere Schattierung 1 - Akzent 121"/>
    <w:uiPriority w:val="99"/>
    <w:semiHidden/>
    <w:locked/>
    <w:rsid w:val="001018A1"/>
    <w:rPr>
      <w:sz w:val="20"/>
      <w:szCs w:val="20"/>
      <w:lang w:val="sr-Latn-CS" w:eastAsia="sr-Latn-CS"/>
    </w:rPr>
    <w:tblPr>
      <w:tblStyleRowBandSize w:val="1"/>
      <w:tblStyleColBandSize w:val="1"/>
      <w:tblInd w:w="0" w:type="dxa"/>
      <w:tblBorders>
        <w:top w:val="single" w:sz="8" w:space="0" w:color="242EA8"/>
        <w:left w:val="single" w:sz="8" w:space="0" w:color="242EA8"/>
        <w:bottom w:val="single" w:sz="8" w:space="0" w:color="242EA8"/>
        <w:right w:val="single" w:sz="8" w:space="0" w:color="242EA8"/>
        <w:insideH w:val="single" w:sz="8" w:space="0" w:color="242EA8"/>
      </w:tblBorders>
      <w:tblCellMar>
        <w:top w:w="0" w:type="dxa"/>
        <w:left w:w="108" w:type="dxa"/>
        <w:bottom w:w="0" w:type="dxa"/>
        <w:right w:w="108" w:type="dxa"/>
      </w:tblCellMar>
    </w:tblPr>
  </w:style>
  <w:style w:type="table" w:customStyle="1" w:styleId="MittlereSchattierung221">
    <w:name w:val="Mittlere Schattierung 22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121">
    <w:name w:val="Mittlere Schattierung 2 - Akzent 121"/>
    <w:uiPriority w:val="99"/>
    <w:semiHidden/>
    <w:locked/>
    <w:rsid w:val="001018A1"/>
    <w:rPr>
      <w:sz w:val="20"/>
      <w:szCs w:val="20"/>
      <w:lang w:val="sr-Latn-CS" w:eastAsia="sr-Latn-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Raster121">
    <w:name w:val="Mittleres Raster 121"/>
    <w:uiPriority w:val="99"/>
    <w:semiHidden/>
    <w:locked/>
    <w:rsid w:val="001018A1"/>
    <w:rPr>
      <w:sz w:val="20"/>
      <w:szCs w:val="20"/>
      <w:lang w:val="sr-Latn-CS" w:eastAsia="sr-Latn-C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ittleresRaster221">
    <w:name w:val="Mittleres Raster 221"/>
    <w:uiPriority w:val="99"/>
    <w:semiHidden/>
    <w:locked/>
    <w:rsid w:val="001018A1"/>
    <w:rPr>
      <w:color w:val="000000"/>
      <w:sz w:val="20"/>
      <w:szCs w:val="20"/>
      <w:lang w:val="sr-Latn-CS" w:eastAsia="sr-Latn-C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ittleresRaster321">
    <w:name w:val="Mittleres Raster 321"/>
    <w:uiPriority w:val="99"/>
    <w:semiHidden/>
    <w:locked/>
    <w:rsid w:val="001018A1"/>
    <w:rPr>
      <w:sz w:val="20"/>
      <w:szCs w:val="20"/>
      <w:lang w:val="sr-Latn-CS" w:eastAsia="sr-Latn-C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TAB-GREEN1">
    <w:name w:val="TAB-GREEN1"/>
    <w:uiPriority w:val="99"/>
    <w:rsid w:val="001018A1"/>
    <w:rPr>
      <w:sz w:val="20"/>
      <w:szCs w:val="20"/>
      <w:lang w:val="sr-Latn-CS" w:eastAsia="sr-Latn-C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AFDF5"/>
    </w:tcPr>
  </w:style>
  <w:style w:type="paragraph" w:styleId="BodyText">
    <w:name w:val="Body Text"/>
    <w:basedOn w:val="Normal"/>
    <w:link w:val="BodyTextChar"/>
    <w:uiPriority w:val="99"/>
    <w:rsid w:val="001018A1"/>
    <w:pPr>
      <w:widowControl w:val="0"/>
      <w:tabs>
        <w:tab w:val="left" w:pos="-720"/>
      </w:tabs>
      <w:suppressAutoHyphens/>
      <w:overflowPunct/>
      <w:autoSpaceDE/>
      <w:autoSpaceDN/>
      <w:adjustRightInd/>
      <w:spacing w:after="0"/>
      <w:textAlignment w:val="auto"/>
    </w:pPr>
    <w:rPr>
      <w:rFonts w:ascii="TimesRoman" w:hAnsi="TimesRoman"/>
      <w:spacing w:val="-3"/>
      <w:sz w:val="24"/>
      <w:szCs w:val="20"/>
      <w:lang w:val="en-GB" w:eastAsia="en-US"/>
    </w:rPr>
  </w:style>
  <w:style w:type="character" w:customStyle="1" w:styleId="BodyTextChar">
    <w:name w:val="Body Text Char"/>
    <w:basedOn w:val="DefaultParagraphFont"/>
    <w:link w:val="BodyText"/>
    <w:uiPriority w:val="99"/>
    <w:locked/>
    <w:rsid w:val="001018A1"/>
    <w:rPr>
      <w:rFonts w:ascii="TimesRoman" w:hAnsi="TimesRoman" w:cs="Times New Roman"/>
      <w:snapToGrid w:val="0"/>
      <w:spacing w:val="-3"/>
      <w:sz w:val="20"/>
      <w:szCs w:val="20"/>
      <w:lang w:val="en-GB" w:eastAsia="en-US"/>
    </w:rPr>
  </w:style>
  <w:style w:type="character" w:customStyle="1" w:styleId="literatura">
    <w:name w:val="literatura"/>
    <w:basedOn w:val="DefaultParagraphFont"/>
    <w:uiPriority w:val="99"/>
    <w:rsid w:val="001018A1"/>
    <w:rPr>
      <w:rFonts w:ascii="Yu C Times Roman" w:hAnsi="Yu C Times Roman" w:cs="Times New Roman"/>
      <w:i/>
      <w:sz w:val="24"/>
    </w:rPr>
  </w:style>
  <w:style w:type="paragraph" w:styleId="BodyText2">
    <w:name w:val="Body Text 2"/>
    <w:basedOn w:val="Normal"/>
    <w:link w:val="BodyText2Char"/>
    <w:uiPriority w:val="99"/>
    <w:semiHidden/>
    <w:rsid w:val="001018A1"/>
    <w:pPr>
      <w:spacing w:line="480" w:lineRule="auto"/>
    </w:pPr>
  </w:style>
  <w:style w:type="character" w:customStyle="1" w:styleId="BodyText2Char">
    <w:name w:val="Body Text 2 Char"/>
    <w:basedOn w:val="DefaultParagraphFont"/>
    <w:link w:val="BodyText2"/>
    <w:uiPriority w:val="99"/>
    <w:semiHidden/>
    <w:locked/>
    <w:rsid w:val="001018A1"/>
    <w:rPr>
      <w:rFonts w:cs="Times New Roman"/>
    </w:rPr>
  </w:style>
  <w:style w:type="paragraph" w:styleId="DocumentMap">
    <w:name w:val="Document Map"/>
    <w:basedOn w:val="Normal"/>
    <w:link w:val="DocumentMapChar"/>
    <w:uiPriority w:val="99"/>
    <w:semiHidden/>
    <w:locked/>
    <w:rsid w:val="0064475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C0EC7"/>
    <w:rPr>
      <w:rFonts w:ascii="Times New Roman" w:hAnsi="Times New Roman"/>
      <w:sz w:val="0"/>
      <w:szCs w:val="0"/>
      <w:lang w:val="de-DE" w:eastAsia="de-DE"/>
    </w:rPr>
  </w:style>
  <w:style w:type="numbering" w:styleId="111111">
    <w:name w:val="Outline List 2"/>
    <w:basedOn w:val="NoList"/>
    <w:uiPriority w:val="99"/>
    <w:semiHidden/>
    <w:unhideWhenUsed/>
    <w:locked/>
    <w:rsid w:val="00DC0EC7"/>
    <w:pPr>
      <w:numPr>
        <w:numId w:val="14"/>
      </w:numPr>
    </w:pPr>
  </w:style>
  <w:style w:type="numbering" w:customStyle="1" w:styleId="GFANumberedList">
    <w:name w:val="GFA Numbered List"/>
    <w:rsid w:val="00DC0EC7"/>
    <w:pPr>
      <w:numPr>
        <w:numId w:val="15"/>
      </w:numPr>
    </w:pPr>
  </w:style>
  <w:style w:type="numbering" w:customStyle="1" w:styleId="GFABulletedList">
    <w:name w:val="GFA Bulleted List"/>
    <w:rsid w:val="00DC0EC7"/>
    <w:pPr>
      <w:numPr>
        <w:numId w:val="16"/>
      </w:numPr>
    </w:pPr>
  </w:style>
</w:styles>
</file>

<file path=word/webSettings.xml><?xml version="1.0" encoding="utf-8"?>
<w:webSettings xmlns:r="http://schemas.openxmlformats.org/officeDocument/2006/relationships" xmlns:w="http://schemas.openxmlformats.org/wordprocessingml/2006/main">
  <w:divs>
    <w:div w:id="1470249742">
      <w:marLeft w:val="0"/>
      <w:marRight w:val="0"/>
      <w:marTop w:val="0"/>
      <w:marBottom w:val="0"/>
      <w:divBdr>
        <w:top w:val="none" w:sz="0" w:space="0" w:color="auto"/>
        <w:left w:val="none" w:sz="0" w:space="0" w:color="auto"/>
        <w:bottom w:val="none" w:sz="0" w:space="0" w:color="auto"/>
        <w:right w:val="none" w:sz="0" w:space="0" w:color="auto"/>
      </w:divBdr>
    </w:div>
    <w:div w:id="1470249743">
      <w:marLeft w:val="0"/>
      <w:marRight w:val="0"/>
      <w:marTop w:val="0"/>
      <w:marBottom w:val="0"/>
      <w:divBdr>
        <w:top w:val="none" w:sz="0" w:space="0" w:color="auto"/>
        <w:left w:val="none" w:sz="0" w:space="0" w:color="auto"/>
        <w:bottom w:val="none" w:sz="0" w:space="0" w:color="auto"/>
        <w:right w:val="none" w:sz="0" w:space="0" w:color="auto"/>
      </w:divBdr>
    </w:div>
    <w:div w:id="1470249751">
      <w:marLeft w:val="0"/>
      <w:marRight w:val="0"/>
      <w:marTop w:val="0"/>
      <w:marBottom w:val="0"/>
      <w:divBdr>
        <w:top w:val="none" w:sz="0" w:space="0" w:color="auto"/>
        <w:left w:val="none" w:sz="0" w:space="0" w:color="auto"/>
        <w:bottom w:val="none" w:sz="0" w:space="0" w:color="auto"/>
        <w:right w:val="none" w:sz="0" w:space="0" w:color="auto"/>
      </w:divBdr>
      <w:divsChild>
        <w:div w:id="1470249799">
          <w:marLeft w:val="0"/>
          <w:marRight w:val="0"/>
          <w:marTop w:val="0"/>
          <w:marBottom w:val="0"/>
          <w:divBdr>
            <w:top w:val="none" w:sz="0" w:space="0" w:color="auto"/>
            <w:left w:val="none" w:sz="0" w:space="0" w:color="auto"/>
            <w:bottom w:val="none" w:sz="0" w:space="0" w:color="auto"/>
            <w:right w:val="none" w:sz="0" w:space="0" w:color="auto"/>
          </w:divBdr>
          <w:divsChild>
            <w:div w:id="1470249786">
              <w:marLeft w:val="0"/>
              <w:marRight w:val="0"/>
              <w:marTop w:val="0"/>
              <w:marBottom w:val="0"/>
              <w:divBdr>
                <w:top w:val="none" w:sz="0" w:space="0" w:color="E1E1E1"/>
                <w:left w:val="none" w:sz="0" w:space="0" w:color="E1E1E1"/>
                <w:bottom w:val="none" w:sz="0" w:space="0" w:color="E1E1E1"/>
                <w:right w:val="none" w:sz="0" w:space="0" w:color="E1E1E1"/>
              </w:divBdr>
              <w:divsChild>
                <w:div w:id="1470249766">
                  <w:marLeft w:val="0"/>
                  <w:marRight w:val="0"/>
                  <w:marTop w:val="0"/>
                  <w:marBottom w:val="0"/>
                  <w:divBdr>
                    <w:top w:val="none" w:sz="0" w:space="0" w:color="auto"/>
                    <w:left w:val="none" w:sz="0" w:space="0" w:color="auto"/>
                    <w:bottom w:val="none" w:sz="0" w:space="0" w:color="auto"/>
                    <w:right w:val="none" w:sz="0" w:space="0" w:color="auto"/>
                  </w:divBdr>
                  <w:divsChild>
                    <w:div w:id="1470249748">
                      <w:marLeft w:val="0"/>
                      <w:marRight w:val="0"/>
                      <w:marTop w:val="0"/>
                      <w:marBottom w:val="0"/>
                      <w:divBdr>
                        <w:top w:val="none" w:sz="0" w:space="0" w:color="auto"/>
                        <w:left w:val="none" w:sz="0" w:space="0" w:color="auto"/>
                        <w:bottom w:val="none" w:sz="0" w:space="0" w:color="auto"/>
                        <w:right w:val="none" w:sz="0" w:space="0" w:color="auto"/>
                      </w:divBdr>
                      <w:divsChild>
                        <w:div w:id="1470249812">
                          <w:marLeft w:val="0"/>
                          <w:marRight w:val="0"/>
                          <w:marTop w:val="0"/>
                          <w:marBottom w:val="0"/>
                          <w:divBdr>
                            <w:top w:val="none" w:sz="0" w:space="0" w:color="auto"/>
                            <w:left w:val="none" w:sz="0" w:space="0" w:color="auto"/>
                            <w:bottom w:val="none" w:sz="0" w:space="0" w:color="auto"/>
                            <w:right w:val="none" w:sz="0" w:space="0" w:color="auto"/>
                          </w:divBdr>
                          <w:divsChild>
                            <w:div w:id="1470249750">
                              <w:marLeft w:val="0"/>
                              <w:marRight w:val="0"/>
                              <w:marTop w:val="0"/>
                              <w:marBottom w:val="0"/>
                              <w:divBdr>
                                <w:top w:val="none" w:sz="0" w:space="0" w:color="auto"/>
                                <w:left w:val="none" w:sz="0" w:space="0" w:color="auto"/>
                                <w:bottom w:val="none" w:sz="0" w:space="0" w:color="auto"/>
                                <w:right w:val="none" w:sz="0" w:space="0" w:color="auto"/>
                              </w:divBdr>
                              <w:divsChild>
                                <w:div w:id="1470249776">
                                  <w:marLeft w:val="0"/>
                                  <w:marRight w:val="0"/>
                                  <w:marTop w:val="0"/>
                                  <w:marBottom w:val="0"/>
                                  <w:divBdr>
                                    <w:top w:val="none" w:sz="0" w:space="0" w:color="auto"/>
                                    <w:left w:val="none" w:sz="0" w:space="0" w:color="auto"/>
                                    <w:bottom w:val="none" w:sz="0" w:space="0" w:color="auto"/>
                                    <w:right w:val="none" w:sz="0" w:space="0" w:color="auto"/>
                                  </w:divBdr>
                                  <w:divsChild>
                                    <w:div w:id="1470249790">
                                      <w:marLeft w:val="720"/>
                                      <w:marRight w:val="240"/>
                                      <w:marTop w:val="100"/>
                                      <w:marBottom w:val="240"/>
                                      <w:divBdr>
                                        <w:top w:val="none" w:sz="0" w:space="0" w:color="auto"/>
                                        <w:left w:val="single" w:sz="48" w:space="15" w:color="auto"/>
                                        <w:bottom w:val="none" w:sz="0" w:space="0" w:color="auto"/>
                                        <w:right w:val="none" w:sz="0" w:space="0" w:color="auto"/>
                                      </w:divBdr>
                                    </w:div>
                                  </w:divsChild>
                                </w:div>
                              </w:divsChild>
                            </w:div>
                          </w:divsChild>
                        </w:div>
                      </w:divsChild>
                    </w:div>
                  </w:divsChild>
                </w:div>
              </w:divsChild>
            </w:div>
          </w:divsChild>
        </w:div>
      </w:divsChild>
    </w:div>
    <w:div w:id="1470249752">
      <w:marLeft w:val="0"/>
      <w:marRight w:val="0"/>
      <w:marTop w:val="0"/>
      <w:marBottom w:val="0"/>
      <w:divBdr>
        <w:top w:val="none" w:sz="0" w:space="0" w:color="auto"/>
        <w:left w:val="none" w:sz="0" w:space="0" w:color="auto"/>
        <w:bottom w:val="none" w:sz="0" w:space="0" w:color="auto"/>
        <w:right w:val="none" w:sz="0" w:space="0" w:color="auto"/>
      </w:divBdr>
      <w:divsChild>
        <w:div w:id="1470249749">
          <w:marLeft w:val="547"/>
          <w:marRight w:val="0"/>
          <w:marTop w:val="0"/>
          <w:marBottom w:val="0"/>
          <w:divBdr>
            <w:top w:val="none" w:sz="0" w:space="0" w:color="auto"/>
            <w:left w:val="none" w:sz="0" w:space="0" w:color="auto"/>
            <w:bottom w:val="none" w:sz="0" w:space="0" w:color="auto"/>
            <w:right w:val="none" w:sz="0" w:space="0" w:color="auto"/>
          </w:divBdr>
        </w:div>
        <w:div w:id="1470249765">
          <w:marLeft w:val="547"/>
          <w:marRight w:val="0"/>
          <w:marTop w:val="0"/>
          <w:marBottom w:val="0"/>
          <w:divBdr>
            <w:top w:val="none" w:sz="0" w:space="0" w:color="auto"/>
            <w:left w:val="none" w:sz="0" w:space="0" w:color="auto"/>
            <w:bottom w:val="none" w:sz="0" w:space="0" w:color="auto"/>
            <w:right w:val="none" w:sz="0" w:space="0" w:color="auto"/>
          </w:divBdr>
        </w:div>
        <w:div w:id="1470249774">
          <w:marLeft w:val="547"/>
          <w:marRight w:val="0"/>
          <w:marTop w:val="0"/>
          <w:marBottom w:val="0"/>
          <w:divBdr>
            <w:top w:val="none" w:sz="0" w:space="0" w:color="auto"/>
            <w:left w:val="none" w:sz="0" w:space="0" w:color="auto"/>
            <w:bottom w:val="none" w:sz="0" w:space="0" w:color="auto"/>
            <w:right w:val="none" w:sz="0" w:space="0" w:color="auto"/>
          </w:divBdr>
        </w:div>
        <w:div w:id="1470249780">
          <w:marLeft w:val="547"/>
          <w:marRight w:val="0"/>
          <w:marTop w:val="0"/>
          <w:marBottom w:val="0"/>
          <w:divBdr>
            <w:top w:val="none" w:sz="0" w:space="0" w:color="auto"/>
            <w:left w:val="none" w:sz="0" w:space="0" w:color="auto"/>
            <w:bottom w:val="none" w:sz="0" w:space="0" w:color="auto"/>
            <w:right w:val="none" w:sz="0" w:space="0" w:color="auto"/>
          </w:divBdr>
        </w:div>
        <w:div w:id="1470249787">
          <w:marLeft w:val="547"/>
          <w:marRight w:val="0"/>
          <w:marTop w:val="0"/>
          <w:marBottom w:val="0"/>
          <w:divBdr>
            <w:top w:val="none" w:sz="0" w:space="0" w:color="auto"/>
            <w:left w:val="none" w:sz="0" w:space="0" w:color="auto"/>
            <w:bottom w:val="none" w:sz="0" w:space="0" w:color="auto"/>
            <w:right w:val="none" w:sz="0" w:space="0" w:color="auto"/>
          </w:divBdr>
        </w:div>
        <w:div w:id="1470249791">
          <w:marLeft w:val="547"/>
          <w:marRight w:val="0"/>
          <w:marTop w:val="0"/>
          <w:marBottom w:val="0"/>
          <w:divBdr>
            <w:top w:val="none" w:sz="0" w:space="0" w:color="auto"/>
            <w:left w:val="none" w:sz="0" w:space="0" w:color="auto"/>
            <w:bottom w:val="none" w:sz="0" w:space="0" w:color="auto"/>
            <w:right w:val="none" w:sz="0" w:space="0" w:color="auto"/>
          </w:divBdr>
        </w:div>
        <w:div w:id="1470249792">
          <w:marLeft w:val="547"/>
          <w:marRight w:val="0"/>
          <w:marTop w:val="0"/>
          <w:marBottom w:val="0"/>
          <w:divBdr>
            <w:top w:val="none" w:sz="0" w:space="0" w:color="auto"/>
            <w:left w:val="none" w:sz="0" w:space="0" w:color="auto"/>
            <w:bottom w:val="none" w:sz="0" w:space="0" w:color="auto"/>
            <w:right w:val="none" w:sz="0" w:space="0" w:color="auto"/>
          </w:divBdr>
        </w:div>
        <w:div w:id="1470249810">
          <w:marLeft w:val="547"/>
          <w:marRight w:val="0"/>
          <w:marTop w:val="0"/>
          <w:marBottom w:val="0"/>
          <w:divBdr>
            <w:top w:val="none" w:sz="0" w:space="0" w:color="auto"/>
            <w:left w:val="none" w:sz="0" w:space="0" w:color="auto"/>
            <w:bottom w:val="none" w:sz="0" w:space="0" w:color="auto"/>
            <w:right w:val="none" w:sz="0" w:space="0" w:color="auto"/>
          </w:divBdr>
        </w:div>
        <w:div w:id="1470249816">
          <w:marLeft w:val="547"/>
          <w:marRight w:val="0"/>
          <w:marTop w:val="0"/>
          <w:marBottom w:val="0"/>
          <w:divBdr>
            <w:top w:val="none" w:sz="0" w:space="0" w:color="auto"/>
            <w:left w:val="none" w:sz="0" w:space="0" w:color="auto"/>
            <w:bottom w:val="none" w:sz="0" w:space="0" w:color="auto"/>
            <w:right w:val="none" w:sz="0" w:space="0" w:color="auto"/>
          </w:divBdr>
        </w:div>
      </w:divsChild>
    </w:div>
    <w:div w:id="1470249758">
      <w:marLeft w:val="0"/>
      <w:marRight w:val="0"/>
      <w:marTop w:val="0"/>
      <w:marBottom w:val="0"/>
      <w:divBdr>
        <w:top w:val="none" w:sz="0" w:space="0" w:color="auto"/>
        <w:left w:val="none" w:sz="0" w:space="0" w:color="auto"/>
        <w:bottom w:val="none" w:sz="0" w:space="0" w:color="auto"/>
        <w:right w:val="none" w:sz="0" w:space="0" w:color="auto"/>
      </w:divBdr>
    </w:div>
    <w:div w:id="1470249759">
      <w:marLeft w:val="0"/>
      <w:marRight w:val="0"/>
      <w:marTop w:val="0"/>
      <w:marBottom w:val="0"/>
      <w:divBdr>
        <w:top w:val="none" w:sz="0" w:space="0" w:color="auto"/>
        <w:left w:val="none" w:sz="0" w:space="0" w:color="auto"/>
        <w:bottom w:val="none" w:sz="0" w:space="0" w:color="auto"/>
        <w:right w:val="none" w:sz="0" w:space="0" w:color="auto"/>
      </w:divBdr>
    </w:div>
    <w:div w:id="1470249762">
      <w:marLeft w:val="0"/>
      <w:marRight w:val="0"/>
      <w:marTop w:val="0"/>
      <w:marBottom w:val="0"/>
      <w:divBdr>
        <w:top w:val="none" w:sz="0" w:space="0" w:color="auto"/>
        <w:left w:val="none" w:sz="0" w:space="0" w:color="auto"/>
        <w:bottom w:val="none" w:sz="0" w:space="0" w:color="auto"/>
        <w:right w:val="none" w:sz="0" w:space="0" w:color="auto"/>
      </w:divBdr>
      <w:divsChild>
        <w:div w:id="1470249747">
          <w:marLeft w:val="547"/>
          <w:marRight w:val="0"/>
          <w:marTop w:val="0"/>
          <w:marBottom w:val="0"/>
          <w:divBdr>
            <w:top w:val="none" w:sz="0" w:space="0" w:color="auto"/>
            <w:left w:val="none" w:sz="0" w:space="0" w:color="auto"/>
            <w:bottom w:val="none" w:sz="0" w:space="0" w:color="auto"/>
            <w:right w:val="none" w:sz="0" w:space="0" w:color="auto"/>
          </w:divBdr>
        </w:div>
        <w:div w:id="1470249757">
          <w:marLeft w:val="547"/>
          <w:marRight w:val="0"/>
          <w:marTop w:val="0"/>
          <w:marBottom w:val="0"/>
          <w:divBdr>
            <w:top w:val="none" w:sz="0" w:space="0" w:color="auto"/>
            <w:left w:val="none" w:sz="0" w:space="0" w:color="auto"/>
            <w:bottom w:val="none" w:sz="0" w:space="0" w:color="auto"/>
            <w:right w:val="none" w:sz="0" w:space="0" w:color="auto"/>
          </w:divBdr>
        </w:div>
        <w:div w:id="1470249773">
          <w:marLeft w:val="547"/>
          <w:marRight w:val="0"/>
          <w:marTop w:val="0"/>
          <w:marBottom w:val="0"/>
          <w:divBdr>
            <w:top w:val="none" w:sz="0" w:space="0" w:color="auto"/>
            <w:left w:val="none" w:sz="0" w:space="0" w:color="auto"/>
            <w:bottom w:val="none" w:sz="0" w:space="0" w:color="auto"/>
            <w:right w:val="none" w:sz="0" w:space="0" w:color="auto"/>
          </w:divBdr>
        </w:div>
        <w:div w:id="1470249783">
          <w:marLeft w:val="547"/>
          <w:marRight w:val="0"/>
          <w:marTop w:val="0"/>
          <w:marBottom w:val="0"/>
          <w:divBdr>
            <w:top w:val="none" w:sz="0" w:space="0" w:color="auto"/>
            <w:left w:val="none" w:sz="0" w:space="0" w:color="auto"/>
            <w:bottom w:val="none" w:sz="0" w:space="0" w:color="auto"/>
            <w:right w:val="none" w:sz="0" w:space="0" w:color="auto"/>
          </w:divBdr>
        </w:div>
        <w:div w:id="1470249800">
          <w:marLeft w:val="547"/>
          <w:marRight w:val="0"/>
          <w:marTop w:val="0"/>
          <w:marBottom w:val="0"/>
          <w:divBdr>
            <w:top w:val="none" w:sz="0" w:space="0" w:color="auto"/>
            <w:left w:val="none" w:sz="0" w:space="0" w:color="auto"/>
            <w:bottom w:val="none" w:sz="0" w:space="0" w:color="auto"/>
            <w:right w:val="none" w:sz="0" w:space="0" w:color="auto"/>
          </w:divBdr>
        </w:div>
        <w:div w:id="1470249802">
          <w:marLeft w:val="547"/>
          <w:marRight w:val="0"/>
          <w:marTop w:val="0"/>
          <w:marBottom w:val="0"/>
          <w:divBdr>
            <w:top w:val="none" w:sz="0" w:space="0" w:color="auto"/>
            <w:left w:val="none" w:sz="0" w:space="0" w:color="auto"/>
            <w:bottom w:val="none" w:sz="0" w:space="0" w:color="auto"/>
            <w:right w:val="none" w:sz="0" w:space="0" w:color="auto"/>
          </w:divBdr>
        </w:div>
        <w:div w:id="1470249806">
          <w:marLeft w:val="547"/>
          <w:marRight w:val="0"/>
          <w:marTop w:val="0"/>
          <w:marBottom w:val="0"/>
          <w:divBdr>
            <w:top w:val="none" w:sz="0" w:space="0" w:color="auto"/>
            <w:left w:val="none" w:sz="0" w:space="0" w:color="auto"/>
            <w:bottom w:val="none" w:sz="0" w:space="0" w:color="auto"/>
            <w:right w:val="none" w:sz="0" w:space="0" w:color="auto"/>
          </w:divBdr>
        </w:div>
      </w:divsChild>
    </w:div>
    <w:div w:id="1470249764">
      <w:marLeft w:val="0"/>
      <w:marRight w:val="0"/>
      <w:marTop w:val="0"/>
      <w:marBottom w:val="0"/>
      <w:divBdr>
        <w:top w:val="none" w:sz="0" w:space="0" w:color="auto"/>
        <w:left w:val="none" w:sz="0" w:space="0" w:color="auto"/>
        <w:bottom w:val="none" w:sz="0" w:space="0" w:color="auto"/>
        <w:right w:val="none" w:sz="0" w:space="0" w:color="auto"/>
      </w:divBdr>
    </w:div>
    <w:div w:id="1470249768">
      <w:marLeft w:val="0"/>
      <w:marRight w:val="0"/>
      <w:marTop w:val="0"/>
      <w:marBottom w:val="0"/>
      <w:divBdr>
        <w:top w:val="none" w:sz="0" w:space="0" w:color="auto"/>
        <w:left w:val="none" w:sz="0" w:space="0" w:color="auto"/>
        <w:bottom w:val="none" w:sz="0" w:space="0" w:color="auto"/>
        <w:right w:val="none" w:sz="0" w:space="0" w:color="auto"/>
      </w:divBdr>
    </w:div>
    <w:div w:id="1470249769">
      <w:marLeft w:val="0"/>
      <w:marRight w:val="0"/>
      <w:marTop w:val="0"/>
      <w:marBottom w:val="0"/>
      <w:divBdr>
        <w:top w:val="none" w:sz="0" w:space="0" w:color="auto"/>
        <w:left w:val="none" w:sz="0" w:space="0" w:color="auto"/>
        <w:bottom w:val="none" w:sz="0" w:space="0" w:color="auto"/>
        <w:right w:val="none" w:sz="0" w:space="0" w:color="auto"/>
      </w:divBdr>
      <w:divsChild>
        <w:div w:id="1470249741">
          <w:marLeft w:val="547"/>
          <w:marRight w:val="0"/>
          <w:marTop w:val="0"/>
          <w:marBottom w:val="0"/>
          <w:divBdr>
            <w:top w:val="none" w:sz="0" w:space="0" w:color="auto"/>
            <w:left w:val="none" w:sz="0" w:space="0" w:color="auto"/>
            <w:bottom w:val="none" w:sz="0" w:space="0" w:color="auto"/>
            <w:right w:val="none" w:sz="0" w:space="0" w:color="auto"/>
          </w:divBdr>
        </w:div>
        <w:div w:id="1470249755">
          <w:marLeft w:val="547"/>
          <w:marRight w:val="0"/>
          <w:marTop w:val="0"/>
          <w:marBottom w:val="0"/>
          <w:divBdr>
            <w:top w:val="none" w:sz="0" w:space="0" w:color="auto"/>
            <w:left w:val="none" w:sz="0" w:space="0" w:color="auto"/>
            <w:bottom w:val="none" w:sz="0" w:space="0" w:color="auto"/>
            <w:right w:val="none" w:sz="0" w:space="0" w:color="auto"/>
          </w:divBdr>
        </w:div>
        <w:div w:id="1470249756">
          <w:marLeft w:val="547"/>
          <w:marRight w:val="0"/>
          <w:marTop w:val="0"/>
          <w:marBottom w:val="0"/>
          <w:divBdr>
            <w:top w:val="none" w:sz="0" w:space="0" w:color="auto"/>
            <w:left w:val="none" w:sz="0" w:space="0" w:color="auto"/>
            <w:bottom w:val="none" w:sz="0" w:space="0" w:color="auto"/>
            <w:right w:val="none" w:sz="0" w:space="0" w:color="auto"/>
          </w:divBdr>
        </w:div>
        <w:div w:id="1470249760">
          <w:marLeft w:val="547"/>
          <w:marRight w:val="0"/>
          <w:marTop w:val="0"/>
          <w:marBottom w:val="0"/>
          <w:divBdr>
            <w:top w:val="none" w:sz="0" w:space="0" w:color="auto"/>
            <w:left w:val="none" w:sz="0" w:space="0" w:color="auto"/>
            <w:bottom w:val="none" w:sz="0" w:space="0" w:color="auto"/>
            <w:right w:val="none" w:sz="0" w:space="0" w:color="auto"/>
          </w:divBdr>
        </w:div>
        <w:div w:id="1470249771">
          <w:marLeft w:val="547"/>
          <w:marRight w:val="0"/>
          <w:marTop w:val="0"/>
          <w:marBottom w:val="0"/>
          <w:divBdr>
            <w:top w:val="none" w:sz="0" w:space="0" w:color="auto"/>
            <w:left w:val="none" w:sz="0" w:space="0" w:color="auto"/>
            <w:bottom w:val="none" w:sz="0" w:space="0" w:color="auto"/>
            <w:right w:val="none" w:sz="0" w:space="0" w:color="auto"/>
          </w:divBdr>
        </w:div>
        <w:div w:id="1470249805">
          <w:marLeft w:val="547"/>
          <w:marRight w:val="0"/>
          <w:marTop w:val="0"/>
          <w:marBottom w:val="0"/>
          <w:divBdr>
            <w:top w:val="none" w:sz="0" w:space="0" w:color="auto"/>
            <w:left w:val="none" w:sz="0" w:space="0" w:color="auto"/>
            <w:bottom w:val="none" w:sz="0" w:space="0" w:color="auto"/>
            <w:right w:val="none" w:sz="0" w:space="0" w:color="auto"/>
          </w:divBdr>
        </w:div>
        <w:div w:id="1470249811">
          <w:marLeft w:val="547"/>
          <w:marRight w:val="0"/>
          <w:marTop w:val="0"/>
          <w:marBottom w:val="0"/>
          <w:divBdr>
            <w:top w:val="none" w:sz="0" w:space="0" w:color="auto"/>
            <w:left w:val="none" w:sz="0" w:space="0" w:color="auto"/>
            <w:bottom w:val="none" w:sz="0" w:space="0" w:color="auto"/>
            <w:right w:val="none" w:sz="0" w:space="0" w:color="auto"/>
          </w:divBdr>
        </w:div>
      </w:divsChild>
    </w:div>
    <w:div w:id="1470249772">
      <w:marLeft w:val="0"/>
      <w:marRight w:val="0"/>
      <w:marTop w:val="0"/>
      <w:marBottom w:val="0"/>
      <w:divBdr>
        <w:top w:val="none" w:sz="0" w:space="0" w:color="auto"/>
        <w:left w:val="none" w:sz="0" w:space="0" w:color="auto"/>
        <w:bottom w:val="none" w:sz="0" w:space="0" w:color="auto"/>
        <w:right w:val="none" w:sz="0" w:space="0" w:color="auto"/>
      </w:divBdr>
      <w:divsChild>
        <w:div w:id="1470249744">
          <w:marLeft w:val="547"/>
          <w:marRight w:val="0"/>
          <w:marTop w:val="0"/>
          <w:marBottom w:val="0"/>
          <w:divBdr>
            <w:top w:val="none" w:sz="0" w:space="0" w:color="auto"/>
            <w:left w:val="none" w:sz="0" w:space="0" w:color="auto"/>
            <w:bottom w:val="none" w:sz="0" w:space="0" w:color="auto"/>
            <w:right w:val="none" w:sz="0" w:space="0" w:color="auto"/>
          </w:divBdr>
        </w:div>
        <w:div w:id="1470249754">
          <w:marLeft w:val="547"/>
          <w:marRight w:val="0"/>
          <w:marTop w:val="0"/>
          <w:marBottom w:val="0"/>
          <w:divBdr>
            <w:top w:val="none" w:sz="0" w:space="0" w:color="auto"/>
            <w:left w:val="none" w:sz="0" w:space="0" w:color="auto"/>
            <w:bottom w:val="none" w:sz="0" w:space="0" w:color="auto"/>
            <w:right w:val="none" w:sz="0" w:space="0" w:color="auto"/>
          </w:divBdr>
        </w:div>
        <w:div w:id="1470249778">
          <w:marLeft w:val="547"/>
          <w:marRight w:val="0"/>
          <w:marTop w:val="0"/>
          <w:marBottom w:val="0"/>
          <w:divBdr>
            <w:top w:val="none" w:sz="0" w:space="0" w:color="auto"/>
            <w:left w:val="none" w:sz="0" w:space="0" w:color="auto"/>
            <w:bottom w:val="none" w:sz="0" w:space="0" w:color="auto"/>
            <w:right w:val="none" w:sz="0" w:space="0" w:color="auto"/>
          </w:divBdr>
        </w:div>
        <w:div w:id="1470249796">
          <w:marLeft w:val="547"/>
          <w:marRight w:val="0"/>
          <w:marTop w:val="0"/>
          <w:marBottom w:val="0"/>
          <w:divBdr>
            <w:top w:val="none" w:sz="0" w:space="0" w:color="auto"/>
            <w:left w:val="none" w:sz="0" w:space="0" w:color="auto"/>
            <w:bottom w:val="none" w:sz="0" w:space="0" w:color="auto"/>
            <w:right w:val="none" w:sz="0" w:space="0" w:color="auto"/>
          </w:divBdr>
        </w:div>
        <w:div w:id="1470249804">
          <w:marLeft w:val="547"/>
          <w:marRight w:val="0"/>
          <w:marTop w:val="0"/>
          <w:marBottom w:val="0"/>
          <w:divBdr>
            <w:top w:val="none" w:sz="0" w:space="0" w:color="auto"/>
            <w:left w:val="none" w:sz="0" w:space="0" w:color="auto"/>
            <w:bottom w:val="none" w:sz="0" w:space="0" w:color="auto"/>
            <w:right w:val="none" w:sz="0" w:space="0" w:color="auto"/>
          </w:divBdr>
        </w:div>
        <w:div w:id="1470249814">
          <w:marLeft w:val="547"/>
          <w:marRight w:val="0"/>
          <w:marTop w:val="0"/>
          <w:marBottom w:val="0"/>
          <w:divBdr>
            <w:top w:val="none" w:sz="0" w:space="0" w:color="auto"/>
            <w:left w:val="none" w:sz="0" w:space="0" w:color="auto"/>
            <w:bottom w:val="none" w:sz="0" w:space="0" w:color="auto"/>
            <w:right w:val="none" w:sz="0" w:space="0" w:color="auto"/>
          </w:divBdr>
        </w:div>
      </w:divsChild>
    </w:div>
    <w:div w:id="1470249775">
      <w:marLeft w:val="0"/>
      <w:marRight w:val="0"/>
      <w:marTop w:val="0"/>
      <w:marBottom w:val="0"/>
      <w:divBdr>
        <w:top w:val="none" w:sz="0" w:space="0" w:color="auto"/>
        <w:left w:val="none" w:sz="0" w:space="0" w:color="auto"/>
        <w:bottom w:val="none" w:sz="0" w:space="0" w:color="auto"/>
        <w:right w:val="none" w:sz="0" w:space="0" w:color="auto"/>
      </w:divBdr>
    </w:div>
    <w:div w:id="1470249779">
      <w:marLeft w:val="0"/>
      <w:marRight w:val="0"/>
      <w:marTop w:val="0"/>
      <w:marBottom w:val="0"/>
      <w:divBdr>
        <w:top w:val="none" w:sz="0" w:space="0" w:color="auto"/>
        <w:left w:val="none" w:sz="0" w:space="0" w:color="auto"/>
        <w:bottom w:val="none" w:sz="0" w:space="0" w:color="auto"/>
        <w:right w:val="none" w:sz="0" w:space="0" w:color="auto"/>
      </w:divBdr>
      <w:divsChild>
        <w:div w:id="1470249753">
          <w:marLeft w:val="0"/>
          <w:marRight w:val="0"/>
          <w:marTop w:val="0"/>
          <w:marBottom w:val="0"/>
          <w:divBdr>
            <w:top w:val="none" w:sz="0" w:space="0" w:color="auto"/>
            <w:left w:val="none" w:sz="0" w:space="0" w:color="auto"/>
            <w:bottom w:val="none" w:sz="0" w:space="0" w:color="auto"/>
            <w:right w:val="none" w:sz="0" w:space="0" w:color="auto"/>
          </w:divBdr>
          <w:divsChild>
            <w:div w:id="1470249767">
              <w:marLeft w:val="0"/>
              <w:marRight w:val="0"/>
              <w:marTop w:val="0"/>
              <w:marBottom w:val="0"/>
              <w:divBdr>
                <w:top w:val="none" w:sz="0" w:space="0" w:color="auto"/>
                <w:left w:val="none" w:sz="0" w:space="0" w:color="auto"/>
                <w:bottom w:val="none" w:sz="0" w:space="0" w:color="auto"/>
                <w:right w:val="none" w:sz="0" w:space="0" w:color="auto"/>
              </w:divBdr>
              <w:divsChild>
                <w:div w:id="14702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9785">
      <w:marLeft w:val="0"/>
      <w:marRight w:val="0"/>
      <w:marTop w:val="0"/>
      <w:marBottom w:val="0"/>
      <w:divBdr>
        <w:top w:val="none" w:sz="0" w:space="0" w:color="auto"/>
        <w:left w:val="none" w:sz="0" w:space="0" w:color="auto"/>
        <w:bottom w:val="none" w:sz="0" w:space="0" w:color="auto"/>
        <w:right w:val="none" w:sz="0" w:space="0" w:color="auto"/>
      </w:divBdr>
    </w:div>
    <w:div w:id="1470249788">
      <w:marLeft w:val="0"/>
      <w:marRight w:val="0"/>
      <w:marTop w:val="0"/>
      <w:marBottom w:val="0"/>
      <w:divBdr>
        <w:top w:val="none" w:sz="0" w:space="0" w:color="auto"/>
        <w:left w:val="none" w:sz="0" w:space="0" w:color="auto"/>
        <w:bottom w:val="none" w:sz="0" w:space="0" w:color="auto"/>
        <w:right w:val="none" w:sz="0" w:space="0" w:color="auto"/>
      </w:divBdr>
      <w:divsChild>
        <w:div w:id="1470249807">
          <w:marLeft w:val="0"/>
          <w:marRight w:val="0"/>
          <w:marTop w:val="0"/>
          <w:marBottom w:val="0"/>
          <w:divBdr>
            <w:top w:val="none" w:sz="0" w:space="0" w:color="auto"/>
            <w:left w:val="none" w:sz="0" w:space="0" w:color="auto"/>
            <w:bottom w:val="none" w:sz="0" w:space="0" w:color="auto"/>
            <w:right w:val="none" w:sz="0" w:space="0" w:color="auto"/>
          </w:divBdr>
          <w:divsChild>
            <w:div w:id="1470249815">
              <w:marLeft w:val="0"/>
              <w:marRight w:val="0"/>
              <w:marTop w:val="0"/>
              <w:marBottom w:val="0"/>
              <w:divBdr>
                <w:top w:val="none" w:sz="0" w:space="0" w:color="E1E1E1"/>
                <w:left w:val="none" w:sz="0" w:space="0" w:color="E1E1E1"/>
                <w:bottom w:val="none" w:sz="0" w:space="0" w:color="E1E1E1"/>
                <w:right w:val="none" w:sz="0" w:space="0" w:color="E1E1E1"/>
              </w:divBdr>
              <w:divsChild>
                <w:div w:id="1470249803">
                  <w:marLeft w:val="0"/>
                  <w:marRight w:val="0"/>
                  <w:marTop w:val="0"/>
                  <w:marBottom w:val="0"/>
                  <w:divBdr>
                    <w:top w:val="none" w:sz="0" w:space="0" w:color="auto"/>
                    <w:left w:val="none" w:sz="0" w:space="0" w:color="auto"/>
                    <w:bottom w:val="none" w:sz="0" w:space="0" w:color="auto"/>
                    <w:right w:val="none" w:sz="0" w:space="0" w:color="auto"/>
                  </w:divBdr>
                  <w:divsChild>
                    <w:div w:id="1470249808">
                      <w:marLeft w:val="0"/>
                      <w:marRight w:val="0"/>
                      <w:marTop w:val="0"/>
                      <w:marBottom w:val="0"/>
                      <w:divBdr>
                        <w:top w:val="none" w:sz="0" w:space="0" w:color="auto"/>
                        <w:left w:val="none" w:sz="0" w:space="0" w:color="auto"/>
                        <w:bottom w:val="none" w:sz="0" w:space="0" w:color="auto"/>
                        <w:right w:val="none" w:sz="0" w:space="0" w:color="auto"/>
                      </w:divBdr>
                      <w:divsChild>
                        <w:div w:id="1470249745">
                          <w:marLeft w:val="0"/>
                          <w:marRight w:val="0"/>
                          <w:marTop w:val="0"/>
                          <w:marBottom w:val="0"/>
                          <w:divBdr>
                            <w:top w:val="none" w:sz="0" w:space="0" w:color="auto"/>
                            <w:left w:val="none" w:sz="0" w:space="0" w:color="auto"/>
                            <w:bottom w:val="none" w:sz="0" w:space="0" w:color="auto"/>
                            <w:right w:val="none" w:sz="0" w:space="0" w:color="auto"/>
                          </w:divBdr>
                          <w:divsChild>
                            <w:div w:id="1470249781">
                              <w:marLeft w:val="0"/>
                              <w:marRight w:val="0"/>
                              <w:marTop w:val="0"/>
                              <w:marBottom w:val="0"/>
                              <w:divBdr>
                                <w:top w:val="none" w:sz="0" w:space="0" w:color="auto"/>
                                <w:left w:val="none" w:sz="0" w:space="0" w:color="auto"/>
                                <w:bottom w:val="none" w:sz="0" w:space="0" w:color="auto"/>
                                <w:right w:val="none" w:sz="0" w:space="0" w:color="auto"/>
                              </w:divBdr>
                              <w:divsChild>
                                <w:div w:id="1470249784">
                                  <w:marLeft w:val="0"/>
                                  <w:marRight w:val="0"/>
                                  <w:marTop w:val="0"/>
                                  <w:marBottom w:val="0"/>
                                  <w:divBdr>
                                    <w:top w:val="none" w:sz="0" w:space="0" w:color="auto"/>
                                    <w:left w:val="none" w:sz="0" w:space="0" w:color="auto"/>
                                    <w:bottom w:val="none" w:sz="0" w:space="0" w:color="auto"/>
                                    <w:right w:val="none" w:sz="0" w:space="0" w:color="auto"/>
                                  </w:divBdr>
                                  <w:divsChild>
                                    <w:div w:id="1470249746">
                                      <w:marLeft w:val="0"/>
                                      <w:marRight w:val="0"/>
                                      <w:marTop w:val="0"/>
                                      <w:marBottom w:val="0"/>
                                      <w:divBdr>
                                        <w:top w:val="none" w:sz="0" w:space="0" w:color="auto"/>
                                        <w:left w:val="none" w:sz="0" w:space="0" w:color="auto"/>
                                        <w:bottom w:val="none" w:sz="0" w:space="0" w:color="auto"/>
                                        <w:right w:val="none" w:sz="0" w:space="0" w:color="auto"/>
                                      </w:divBdr>
                                      <w:divsChild>
                                        <w:div w:id="1470249782">
                                          <w:marLeft w:val="720"/>
                                          <w:marRight w:val="240"/>
                                          <w:marTop w:val="100"/>
                                          <w:marBottom w:val="240"/>
                                          <w:divBdr>
                                            <w:top w:val="none" w:sz="0" w:space="0" w:color="auto"/>
                                            <w:left w:val="single" w:sz="48" w:space="15" w:color="auto"/>
                                            <w:bottom w:val="none" w:sz="0" w:space="0" w:color="auto"/>
                                            <w:right w:val="none" w:sz="0" w:space="0" w:color="auto"/>
                                          </w:divBdr>
                                        </w:div>
                                      </w:divsChild>
                                    </w:div>
                                  </w:divsChild>
                                </w:div>
                              </w:divsChild>
                            </w:div>
                          </w:divsChild>
                        </w:div>
                      </w:divsChild>
                    </w:div>
                  </w:divsChild>
                </w:div>
              </w:divsChild>
            </w:div>
          </w:divsChild>
        </w:div>
      </w:divsChild>
    </w:div>
    <w:div w:id="1470249789">
      <w:marLeft w:val="0"/>
      <w:marRight w:val="0"/>
      <w:marTop w:val="0"/>
      <w:marBottom w:val="0"/>
      <w:divBdr>
        <w:top w:val="none" w:sz="0" w:space="0" w:color="auto"/>
        <w:left w:val="none" w:sz="0" w:space="0" w:color="auto"/>
        <w:bottom w:val="none" w:sz="0" w:space="0" w:color="auto"/>
        <w:right w:val="none" w:sz="0" w:space="0" w:color="auto"/>
      </w:divBdr>
    </w:div>
    <w:div w:id="1470249793">
      <w:marLeft w:val="0"/>
      <w:marRight w:val="0"/>
      <w:marTop w:val="0"/>
      <w:marBottom w:val="0"/>
      <w:divBdr>
        <w:top w:val="none" w:sz="0" w:space="0" w:color="auto"/>
        <w:left w:val="none" w:sz="0" w:space="0" w:color="auto"/>
        <w:bottom w:val="none" w:sz="0" w:space="0" w:color="auto"/>
        <w:right w:val="none" w:sz="0" w:space="0" w:color="auto"/>
      </w:divBdr>
    </w:div>
    <w:div w:id="1470249794">
      <w:marLeft w:val="0"/>
      <w:marRight w:val="0"/>
      <w:marTop w:val="0"/>
      <w:marBottom w:val="0"/>
      <w:divBdr>
        <w:top w:val="none" w:sz="0" w:space="0" w:color="auto"/>
        <w:left w:val="none" w:sz="0" w:space="0" w:color="auto"/>
        <w:bottom w:val="none" w:sz="0" w:space="0" w:color="auto"/>
        <w:right w:val="none" w:sz="0" w:space="0" w:color="auto"/>
      </w:divBdr>
      <w:divsChild>
        <w:div w:id="1470249777">
          <w:marLeft w:val="0"/>
          <w:marRight w:val="0"/>
          <w:marTop w:val="0"/>
          <w:marBottom w:val="0"/>
          <w:divBdr>
            <w:top w:val="none" w:sz="0" w:space="0" w:color="auto"/>
            <w:left w:val="none" w:sz="0" w:space="0" w:color="auto"/>
            <w:bottom w:val="none" w:sz="0" w:space="0" w:color="auto"/>
            <w:right w:val="none" w:sz="0" w:space="0" w:color="auto"/>
          </w:divBdr>
          <w:divsChild>
            <w:div w:id="1470249770">
              <w:marLeft w:val="0"/>
              <w:marRight w:val="0"/>
              <w:marTop w:val="0"/>
              <w:marBottom w:val="0"/>
              <w:divBdr>
                <w:top w:val="none" w:sz="0" w:space="0" w:color="auto"/>
                <w:left w:val="none" w:sz="0" w:space="0" w:color="auto"/>
                <w:bottom w:val="none" w:sz="0" w:space="0" w:color="auto"/>
                <w:right w:val="none" w:sz="0" w:space="0" w:color="auto"/>
              </w:divBdr>
              <w:divsChild>
                <w:div w:id="1470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9795">
      <w:marLeft w:val="0"/>
      <w:marRight w:val="0"/>
      <w:marTop w:val="0"/>
      <w:marBottom w:val="0"/>
      <w:divBdr>
        <w:top w:val="none" w:sz="0" w:space="0" w:color="auto"/>
        <w:left w:val="none" w:sz="0" w:space="0" w:color="auto"/>
        <w:bottom w:val="none" w:sz="0" w:space="0" w:color="auto"/>
        <w:right w:val="none" w:sz="0" w:space="0" w:color="auto"/>
      </w:divBdr>
    </w:div>
    <w:div w:id="1470249797">
      <w:marLeft w:val="0"/>
      <w:marRight w:val="0"/>
      <w:marTop w:val="0"/>
      <w:marBottom w:val="0"/>
      <w:divBdr>
        <w:top w:val="none" w:sz="0" w:space="0" w:color="auto"/>
        <w:left w:val="none" w:sz="0" w:space="0" w:color="auto"/>
        <w:bottom w:val="none" w:sz="0" w:space="0" w:color="auto"/>
        <w:right w:val="none" w:sz="0" w:space="0" w:color="auto"/>
      </w:divBdr>
    </w:div>
    <w:div w:id="1470249798">
      <w:marLeft w:val="0"/>
      <w:marRight w:val="0"/>
      <w:marTop w:val="0"/>
      <w:marBottom w:val="0"/>
      <w:divBdr>
        <w:top w:val="none" w:sz="0" w:space="0" w:color="auto"/>
        <w:left w:val="none" w:sz="0" w:space="0" w:color="auto"/>
        <w:bottom w:val="none" w:sz="0" w:space="0" w:color="auto"/>
        <w:right w:val="none" w:sz="0" w:space="0" w:color="auto"/>
      </w:divBdr>
    </w:div>
    <w:div w:id="1470249801">
      <w:marLeft w:val="0"/>
      <w:marRight w:val="0"/>
      <w:marTop w:val="0"/>
      <w:marBottom w:val="0"/>
      <w:divBdr>
        <w:top w:val="none" w:sz="0" w:space="0" w:color="auto"/>
        <w:left w:val="none" w:sz="0" w:space="0" w:color="auto"/>
        <w:bottom w:val="none" w:sz="0" w:space="0" w:color="auto"/>
        <w:right w:val="none" w:sz="0" w:space="0" w:color="auto"/>
      </w:divBdr>
    </w:div>
    <w:div w:id="1470249809">
      <w:marLeft w:val="0"/>
      <w:marRight w:val="0"/>
      <w:marTop w:val="0"/>
      <w:marBottom w:val="0"/>
      <w:divBdr>
        <w:top w:val="none" w:sz="0" w:space="0" w:color="auto"/>
        <w:left w:val="none" w:sz="0" w:space="0" w:color="auto"/>
        <w:bottom w:val="none" w:sz="0" w:space="0" w:color="auto"/>
        <w:right w:val="none" w:sz="0" w:space="0" w:color="auto"/>
      </w:divBdr>
    </w:div>
    <w:div w:id="14702498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fa\WorkGroupTemplates\Standard-Dok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Standard-Dokument</Template>
  <TotalTime>143</TotalTime>
  <Pages>43</Pages>
  <Words>13272</Words>
  <Characters>-32766</Characters>
  <Application>Microsoft Office Outlook</Application>
  <DocSecurity>0</DocSecurity>
  <Lines>0</Lines>
  <Paragraphs>0</Paragraphs>
  <ScaleCrop>false</ScaleCrop>
  <Company>GFA Consulting Group GmbH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GFA Standard</dc:title>
  <dc:subject/>
  <dc:creator>Kapor, Zoran</dc:creator>
  <cp:keywords/>
  <dc:description/>
  <cp:lastModifiedBy>mma</cp:lastModifiedBy>
  <cp:revision>5</cp:revision>
  <cp:lastPrinted>2021-08-19T06:05:00Z</cp:lastPrinted>
  <dcterms:created xsi:type="dcterms:W3CDTF">2021-08-19T05:58:00Z</dcterms:created>
  <dcterms:modified xsi:type="dcterms:W3CDTF">2021-08-19T09:04:00Z</dcterms:modified>
</cp:coreProperties>
</file>